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BB4A" w14:textId="77777777" w:rsidR="00AF0C2B" w:rsidRPr="00AF0C2B" w:rsidRDefault="00AF0C2B" w:rsidP="00AF0C2B">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b/>
          <w:sz w:val="24"/>
          <w:szCs w:val="24"/>
          <w:lang w:eastAsia="es-MX"/>
        </w:rPr>
      </w:pPr>
      <w:bookmarkStart w:id="0" w:name="_GoBack"/>
      <w:bookmarkEnd w:id="0"/>
      <w:r w:rsidRPr="00AF0C2B">
        <w:rPr>
          <w:rFonts w:ascii="Century Gothic" w:eastAsia="Calibri" w:hAnsi="Century Gothic" w:cs="Arial"/>
          <w:b/>
          <w:sz w:val="24"/>
          <w:szCs w:val="24"/>
          <w:lang w:eastAsia="es-MX"/>
        </w:rPr>
        <w:t>DIP. ERICK JOSÉ RIHANI GONZÁLEZ</w:t>
      </w:r>
    </w:p>
    <w:p w14:paraId="2D02B863" w14:textId="77777777" w:rsidR="00AF0C2B" w:rsidRPr="00AF0C2B" w:rsidRDefault="00AF0C2B" w:rsidP="00AF0C2B">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r w:rsidRPr="00AF0C2B">
        <w:rPr>
          <w:rFonts w:ascii="Century Gothic" w:eastAsia="Calibri" w:hAnsi="Century Gothic" w:cs="Arial"/>
          <w:sz w:val="24"/>
          <w:szCs w:val="24"/>
          <w:lang w:eastAsia="es-MX"/>
        </w:rPr>
        <w:t xml:space="preserve">PRESIDENTE DE LA MESA DIRECTIVA DEL </w:t>
      </w:r>
    </w:p>
    <w:p w14:paraId="5C6871C6" w14:textId="30FF58DE" w:rsidR="00AF0C2B" w:rsidRPr="00AF0C2B" w:rsidRDefault="00A32143" w:rsidP="00AF0C2B">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 xml:space="preserve">H. </w:t>
      </w:r>
      <w:r w:rsidR="00AF0C2B" w:rsidRPr="00AF0C2B">
        <w:rPr>
          <w:rFonts w:ascii="Century Gothic" w:eastAsia="Calibri" w:hAnsi="Century Gothic" w:cs="Arial"/>
          <w:sz w:val="24"/>
          <w:szCs w:val="24"/>
          <w:lang w:eastAsia="es-MX"/>
        </w:rPr>
        <w:t xml:space="preserve">CONGRESO DEL ESTADO DE YUCATÁN </w:t>
      </w:r>
    </w:p>
    <w:p w14:paraId="2DE1A188" w14:textId="77777777" w:rsidR="00AF0C2B" w:rsidRPr="00AF0C2B" w:rsidRDefault="00AF0C2B" w:rsidP="00AF0C2B">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b/>
          <w:sz w:val="24"/>
          <w:szCs w:val="24"/>
          <w:lang w:eastAsia="es-MX"/>
        </w:rPr>
      </w:pPr>
      <w:r w:rsidRPr="00AF0C2B">
        <w:rPr>
          <w:rFonts w:ascii="Century Gothic" w:eastAsia="Calibri" w:hAnsi="Century Gothic" w:cs="Arial"/>
          <w:b/>
          <w:sz w:val="24"/>
          <w:szCs w:val="24"/>
          <w:lang w:eastAsia="es-MX"/>
        </w:rPr>
        <w:t>P R E S E N T E</w:t>
      </w:r>
    </w:p>
    <w:p w14:paraId="43FEA7C3" w14:textId="77777777" w:rsidR="00AF0C2B" w:rsidRPr="00AF0C2B" w:rsidRDefault="00AF0C2B" w:rsidP="00AF0C2B">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p>
    <w:p w14:paraId="1B76B703" w14:textId="52470F40" w:rsidR="00AF0C2B" w:rsidRPr="00AF0C2B" w:rsidRDefault="00AF0C2B" w:rsidP="00AF0C2B">
      <w:pPr>
        <w:spacing w:line="360" w:lineRule="auto"/>
        <w:jc w:val="both"/>
        <w:rPr>
          <w:rFonts w:ascii="Century Gothic" w:eastAsia="Malgun Gothic" w:hAnsi="Century Gothic" w:cs="Arial"/>
          <w:sz w:val="24"/>
          <w:szCs w:val="24"/>
          <w:lang w:val="es-ES"/>
        </w:rPr>
      </w:pPr>
      <w:r>
        <w:rPr>
          <w:rFonts w:ascii="Century Gothic" w:eastAsia="Calibri" w:hAnsi="Century Gothic" w:cs="Arial"/>
          <w:sz w:val="24"/>
          <w:szCs w:val="24"/>
          <w:lang w:eastAsia="es-MX"/>
        </w:rPr>
        <w:t>Los</w:t>
      </w:r>
      <w:r w:rsidRPr="00AF0C2B">
        <w:rPr>
          <w:rFonts w:ascii="Century Gothic" w:eastAsia="Calibri" w:hAnsi="Century Gothic" w:cs="Arial"/>
          <w:sz w:val="24"/>
          <w:szCs w:val="24"/>
          <w:lang w:eastAsia="es-MX"/>
        </w:rPr>
        <w:t xml:space="preserve"> que suscribe</w:t>
      </w:r>
      <w:r>
        <w:rPr>
          <w:rFonts w:ascii="Century Gothic" w:eastAsia="Calibri" w:hAnsi="Century Gothic" w:cs="Arial"/>
          <w:sz w:val="24"/>
          <w:szCs w:val="24"/>
          <w:lang w:eastAsia="es-MX"/>
        </w:rPr>
        <w:t>n</w:t>
      </w:r>
      <w:r w:rsidRPr="00AF0C2B">
        <w:rPr>
          <w:rFonts w:ascii="Century Gothic" w:eastAsia="Calibri" w:hAnsi="Century Gothic" w:cs="Arial"/>
          <w:sz w:val="24"/>
          <w:szCs w:val="24"/>
          <w:lang w:eastAsia="es-MX"/>
        </w:rPr>
        <w:t>, Diputado</w:t>
      </w:r>
      <w:r>
        <w:rPr>
          <w:rFonts w:ascii="Century Gothic" w:eastAsia="Calibri" w:hAnsi="Century Gothic" w:cs="Arial"/>
          <w:sz w:val="24"/>
          <w:szCs w:val="24"/>
          <w:lang w:eastAsia="es-MX"/>
        </w:rPr>
        <w:t xml:space="preserve">s integrantes de la Fracción Legislativa </w:t>
      </w:r>
      <w:r w:rsidRPr="00AF0C2B">
        <w:rPr>
          <w:rFonts w:ascii="Century Gothic" w:eastAsia="Calibri" w:hAnsi="Century Gothic" w:cs="Arial"/>
          <w:sz w:val="24"/>
          <w:szCs w:val="24"/>
          <w:lang w:eastAsia="es-MX"/>
        </w:rPr>
        <w:t xml:space="preserve"> 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del Estado somet</w:t>
      </w:r>
      <w:r>
        <w:rPr>
          <w:rFonts w:ascii="Century Gothic" w:eastAsia="Calibri" w:hAnsi="Century Gothic" w:cs="Arial"/>
          <w:sz w:val="24"/>
          <w:szCs w:val="24"/>
          <w:lang w:eastAsia="es-MX"/>
        </w:rPr>
        <w:t>emos</w:t>
      </w:r>
      <w:r w:rsidRPr="00AF0C2B">
        <w:rPr>
          <w:rFonts w:ascii="Century Gothic" w:eastAsia="Calibri" w:hAnsi="Century Gothic" w:cs="Arial"/>
          <w:sz w:val="24"/>
          <w:szCs w:val="24"/>
          <w:lang w:eastAsia="es-MX"/>
        </w:rPr>
        <w:t xml:space="preserve"> a consideración de esta Soberanía la presente: </w:t>
      </w:r>
      <w:r w:rsidRPr="00AF0C2B">
        <w:rPr>
          <w:rFonts w:ascii="Century Gothic" w:eastAsia="Calibri" w:hAnsi="Century Gothic" w:cs="Arial"/>
          <w:b/>
          <w:sz w:val="24"/>
          <w:szCs w:val="24"/>
          <w:lang w:eastAsia="es-MX"/>
        </w:rPr>
        <w:t>PROYECTO DE DECRETO, POR EL</w:t>
      </w:r>
      <w:r w:rsidRPr="00AF0C2B">
        <w:t xml:space="preserve"> </w:t>
      </w:r>
      <w:r w:rsidRPr="00AF0C2B">
        <w:rPr>
          <w:rFonts w:ascii="Century Gothic" w:eastAsia="Calibri" w:hAnsi="Century Gothic" w:cs="Arial"/>
          <w:b/>
          <w:sz w:val="24"/>
          <w:szCs w:val="24"/>
          <w:lang w:eastAsia="es-MX"/>
        </w:rPr>
        <w:t xml:space="preserve">SE DECLARA EL </w:t>
      </w:r>
      <w:r w:rsidR="00860878">
        <w:rPr>
          <w:rFonts w:ascii="Century Gothic" w:eastAsia="Calibri" w:hAnsi="Century Gothic" w:cs="Arial"/>
          <w:b/>
          <w:sz w:val="24"/>
          <w:szCs w:val="24"/>
          <w:lang w:eastAsia="es-MX"/>
        </w:rPr>
        <w:t>3</w:t>
      </w:r>
      <w:r w:rsidRPr="00AF0C2B">
        <w:rPr>
          <w:rFonts w:ascii="Century Gothic" w:eastAsia="Calibri" w:hAnsi="Century Gothic" w:cs="Arial"/>
          <w:b/>
          <w:sz w:val="24"/>
          <w:szCs w:val="24"/>
          <w:lang w:eastAsia="es-MX"/>
        </w:rPr>
        <w:t xml:space="preserve"> DE MARZO COMO “EL DÍA E</w:t>
      </w:r>
      <w:r>
        <w:rPr>
          <w:rFonts w:ascii="Century Gothic" w:eastAsia="Calibri" w:hAnsi="Century Gothic" w:cs="Arial"/>
          <w:b/>
          <w:sz w:val="24"/>
          <w:szCs w:val="24"/>
          <w:lang w:eastAsia="es-MX"/>
        </w:rPr>
        <w:t xml:space="preserve">STATAL DE LOS DERECHOS HUMANOS”, </w:t>
      </w:r>
      <w:r w:rsidRPr="00AF0C2B">
        <w:rPr>
          <w:rFonts w:ascii="Century Gothic" w:eastAsia="Calibri" w:hAnsi="Century Gothic" w:cs="Arial"/>
          <w:sz w:val="24"/>
          <w:szCs w:val="24"/>
          <w:lang w:eastAsia="es-MX"/>
        </w:rPr>
        <w:t>al tenor de la siguiente:</w:t>
      </w:r>
    </w:p>
    <w:p w14:paraId="3457B965" w14:textId="77777777" w:rsidR="000E0C56" w:rsidRDefault="000E0C56" w:rsidP="00AF0C2B">
      <w:pPr>
        <w:spacing w:line="360" w:lineRule="auto"/>
        <w:jc w:val="center"/>
        <w:rPr>
          <w:rFonts w:ascii="Century Gothic" w:eastAsia="Malgun Gothic" w:hAnsi="Century Gothic" w:cs="Arial"/>
          <w:b/>
          <w:sz w:val="24"/>
          <w:szCs w:val="24"/>
          <w:lang w:val="es-ES"/>
        </w:rPr>
      </w:pPr>
      <w:r w:rsidRPr="00AF0C2B">
        <w:rPr>
          <w:rFonts w:ascii="Century Gothic" w:eastAsia="Malgun Gothic" w:hAnsi="Century Gothic" w:cs="Arial"/>
          <w:b/>
          <w:sz w:val="24"/>
          <w:szCs w:val="24"/>
          <w:lang w:val="es-ES"/>
        </w:rPr>
        <w:t>EXPOSICIÓN DE MOTIVOS</w:t>
      </w:r>
    </w:p>
    <w:p w14:paraId="1C9F04E2" w14:textId="77777777" w:rsidR="000568E8" w:rsidRPr="00AF0C2B" w:rsidRDefault="000568E8" w:rsidP="00AF0C2B">
      <w:pPr>
        <w:spacing w:line="360" w:lineRule="auto"/>
        <w:jc w:val="center"/>
        <w:rPr>
          <w:rFonts w:ascii="Century Gothic" w:eastAsia="Malgun Gothic" w:hAnsi="Century Gothic" w:cs="Arial"/>
          <w:b/>
          <w:sz w:val="24"/>
          <w:szCs w:val="24"/>
          <w:lang w:val="es-ES"/>
        </w:rPr>
      </w:pPr>
    </w:p>
    <w:p w14:paraId="1B8B0C53" w14:textId="374DDB06" w:rsidR="000568E8" w:rsidRDefault="000568E8" w:rsidP="0099472E">
      <w:pPr>
        <w:spacing w:line="360" w:lineRule="auto"/>
        <w:ind w:firstLine="708"/>
        <w:jc w:val="both"/>
        <w:rPr>
          <w:rFonts w:ascii="Century Gothic" w:eastAsia="Malgun Gothic" w:hAnsi="Century Gothic" w:cs="Arial"/>
          <w:sz w:val="24"/>
          <w:szCs w:val="24"/>
          <w:lang w:val="es-ES"/>
        </w:rPr>
      </w:pPr>
      <w:r>
        <w:rPr>
          <w:rFonts w:ascii="Century Gothic" w:eastAsia="Malgun Gothic" w:hAnsi="Century Gothic" w:cs="Arial"/>
          <w:sz w:val="24"/>
          <w:szCs w:val="24"/>
          <w:lang w:val="es-ES"/>
        </w:rPr>
        <w:t>La Comisión Nacional de los Derechos Humanos, define a los derechos humanos como</w:t>
      </w:r>
      <w:r w:rsidRPr="000568E8">
        <w:rPr>
          <w:rFonts w:ascii="Century Gothic" w:eastAsia="Malgun Gothic" w:hAnsi="Century Gothic" w:cs="Arial"/>
          <w:sz w:val="24"/>
          <w:szCs w:val="24"/>
          <w:lang w:val="es-ES"/>
        </w:rPr>
        <w:t xml:space="preserve"> el conjunto de prerrogativas sustentadas en la dignidad humana, cuya realización efectiva resulta indispensable para el desarrollo integral de la persona. Este conjunto de prerrogativas se encuentra establecido dentro del orden jurídico nacional, en nuestra Constitución Política, tratados internacionales y las leyes.</w:t>
      </w:r>
    </w:p>
    <w:p w14:paraId="2C60A498" w14:textId="2D71A419" w:rsidR="0099472E" w:rsidRPr="0099472E" w:rsidRDefault="000568E8" w:rsidP="0099472E">
      <w:pPr>
        <w:spacing w:line="360" w:lineRule="auto"/>
        <w:ind w:firstLine="708"/>
        <w:jc w:val="both"/>
        <w:rPr>
          <w:rFonts w:ascii="Century Gothic" w:eastAsia="Malgun Gothic" w:hAnsi="Century Gothic" w:cs="Arial"/>
          <w:sz w:val="24"/>
          <w:szCs w:val="24"/>
          <w:lang w:val="es-ES"/>
        </w:rPr>
      </w:pPr>
      <w:r>
        <w:rPr>
          <w:rFonts w:ascii="Century Gothic" w:eastAsia="Malgun Gothic" w:hAnsi="Century Gothic" w:cs="Arial"/>
          <w:sz w:val="24"/>
          <w:szCs w:val="24"/>
          <w:lang w:val="es-ES"/>
        </w:rPr>
        <w:t>Sin embargo, e</w:t>
      </w:r>
      <w:r w:rsidR="0099472E" w:rsidRPr="0099472E">
        <w:rPr>
          <w:rFonts w:ascii="Century Gothic" w:eastAsia="Malgun Gothic" w:hAnsi="Century Gothic" w:cs="Arial"/>
          <w:sz w:val="24"/>
          <w:szCs w:val="24"/>
          <w:lang w:val="es-ES"/>
        </w:rPr>
        <w:t xml:space="preserve">l reconocimiento de los derechos humanos en las normas y tratados no actúa por sí solo en la garantía de estos, por lo que es necesario tomar en cuenta una serie de actores a nivel interno y externo; así como podemos hablar de organismos como la ONU, la Corte Penal Internacional, la Comisión y la Corte Interamericana de Derechos Humanos </w:t>
      </w:r>
      <w:r w:rsidR="0099472E" w:rsidRPr="0099472E">
        <w:rPr>
          <w:rFonts w:ascii="Century Gothic" w:eastAsia="Malgun Gothic" w:hAnsi="Century Gothic" w:cs="Arial"/>
          <w:sz w:val="24"/>
          <w:szCs w:val="24"/>
          <w:lang w:val="es-ES"/>
        </w:rPr>
        <w:lastRenderedPageBreak/>
        <w:t>en el plano internacional, en nuestro país es necesario destacar la labor de las comisiones y defensorías de derechos humanos.</w:t>
      </w:r>
    </w:p>
    <w:p w14:paraId="12973223" w14:textId="77777777" w:rsidR="0099472E" w:rsidRPr="0099472E" w:rsidRDefault="0099472E" w:rsidP="0099472E">
      <w:pPr>
        <w:spacing w:line="360" w:lineRule="auto"/>
        <w:ind w:firstLine="708"/>
        <w:jc w:val="both"/>
        <w:rPr>
          <w:rFonts w:ascii="Century Gothic" w:eastAsia="Malgun Gothic" w:hAnsi="Century Gothic" w:cs="Arial"/>
          <w:sz w:val="24"/>
          <w:szCs w:val="24"/>
          <w:lang w:val="es-ES"/>
        </w:rPr>
      </w:pPr>
      <w:r w:rsidRPr="0099472E">
        <w:rPr>
          <w:rFonts w:ascii="Century Gothic" w:eastAsia="Malgun Gothic" w:hAnsi="Century Gothic" w:cs="Arial"/>
          <w:sz w:val="24"/>
          <w:szCs w:val="24"/>
          <w:lang w:val="es-ES"/>
        </w:rPr>
        <w:t xml:space="preserve">Terminológicamente, dichas figuras son de origen sueco. La palabra </w:t>
      </w:r>
      <w:r w:rsidRPr="0099472E">
        <w:rPr>
          <w:rFonts w:ascii="Century Gothic" w:eastAsia="Malgun Gothic" w:hAnsi="Century Gothic" w:cs="Arial"/>
          <w:i/>
          <w:iCs/>
          <w:sz w:val="24"/>
          <w:szCs w:val="24"/>
          <w:lang w:val="es-ES"/>
        </w:rPr>
        <w:t>Ombudsman</w:t>
      </w:r>
      <w:r w:rsidRPr="0099472E">
        <w:rPr>
          <w:rFonts w:ascii="Century Gothic" w:eastAsia="Malgun Gothic" w:hAnsi="Century Gothic" w:cs="Arial"/>
          <w:sz w:val="24"/>
          <w:szCs w:val="24"/>
          <w:lang w:val="es-ES"/>
        </w:rPr>
        <w:t xml:space="preserve"> es un término surgió en Suecia durante el siglo XIX para referirse a la persona que representaba a otra, sin ningún interés personal, en el asunto/controversia en el que intervenía. También se relacionaba con la figura de “comisionado de la justicia” (</w:t>
      </w:r>
      <w:proofErr w:type="spellStart"/>
      <w:r w:rsidRPr="0099472E">
        <w:rPr>
          <w:rFonts w:ascii="Century Gothic" w:eastAsia="Malgun Gothic" w:hAnsi="Century Gothic" w:cs="Arial"/>
          <w:i/>
          <w:iCs/>
          <w:sz w:val="24"/>
          <w:szCs w:val="24"/>
          <w:lang w:val="es-ES"/>
        </w:rPr>
        <w:t>justile</w:t>
      </w:r>
      <w:proofErr w:type="spellEnd"/>
      <w:r w:rsidRPr="0099472E">
        <w:rPr>
          <w:rFonts w:ascii="Century Gothic" w:eastAsia="Malgun Gothic" w:hAnsi="Century Gothic" w:cs="Arial"/>
          <w:i/>
          <w:iCs/>
          <w:sz w:val="24"/>
          <w:szCs w:val="24"/>
          <w:lang w:val="es-ES"/>
        </w:rPr>
        <w:t>-ombudsman</w:t>
      </w:r>
      <w:r w:rsidRPr="0099472E">
        <w:rPr>
          <w:rFonts w:ascii="Century Gothic" w:eastAsia="Malgun Gothic" w:hAnsi="Century Gothic" w:cs="Arial"/>
          <w:sz w:val="24"/>
          <w:szCs w:val="24"/>
          <w:lang w:val="es-ES"/>
        </w:rPr>
        <w:t xml:space="preserve">), término que se acuñe por primera vez en el año de 1713 en Turquía como invención del rey Carlos II, quien buscaba tener un mayor supervisión sobre la labor de funcionarios y así evitar una “mala administración”. </w:t>
      </w:r>
    </w:p>
    <w:p w14:paraId="4D6B372A" w14:textId="75ECE68A" w:rsidR="0099472E" w:rsidRPr="0099472E" w:rsidRDefault="0099472E" w:rsidP="0099472E">
      <w:pPr>
        <w:spacing w:line="360" w:lineRule="auto"/>
        <w:ind w:firstLine="708"/>
        <w:jc w:val="both"/>
        <w:rPr>
          <w:rFonts w:ascii="Century Gothic" w:eastAsia="Malgun Gothic" w:hAnsi="Century Gothic" w:cs="Arial"/>
          <w:sz w:val="24"/>
          <w:szCs w:val="24"/>
          <w:lang w:val="es-ES"/>
        </w:rPr>
      </w:pPr>
      <w:r w:rsidRPr="0099472E">
        <w:rPr>
          <w:rFonts w:ascii="Century Gothic" w:eastAsia="Malgun Gothic" w:hAnsi="Century Gothic" w:cs="Arial"/>
          <w:sz w:val="24"/>
          <w:szCs w:val="24"/>
          <w:lang w:val="es-ES"/>
        </w:rPr>
        <w:t xml:space="preserve">La figura fue replicada en distintos partes del mundo adoptando diversas formas en función de las diferencias contextuales de cada país. </w:t>
      </w:r>
    </w:p>
    <w:p w14:paraId="253026EB" w14:textId="77777777" w:rsidR="0099472E" w:rsidRPr="0099472E" w:rsidRDefault="0099472E" w:rsidP="0099472E">
      <w:pPr>
        <w:spacing w:line="360" w:lineRule="auto"/>
        <w:ind w:firstLine="708"/>
        <w:jc w:val="both"/>
        <w:rPr>
          <w:rFonts w:ascii="Century Gothic" w:eastAsia="Malgun Gothic" w:hAnsi="Century Gothic" w:cs="Arial"/>
          <w:sz w:val="24"/>
          <w:szCs w:val="24"/>
          <w:lang w:val="es-ES"/>
        </w:rPr>
      </w:pPr>
      <w:r w:rsidRPr="0099472E">
        <w:rPr>
          <w:rFonts w:ascii="Century Gothic" w:eastAsia="Malgun Gothic" w:hAnsi="Century Gothic" w:cs="Arial"/>
          <w:sz w:val="24"/>
          <w:szCs w:val="24"/>
          <w:lang w:val="es-ES"/>
        </w:rPr>
        <w:t>En México, los antecedentes se remontan a finales del siglo XIX cuando en el Estado de San Luis Potosí se crea la “Procuraduría de los Pobres”. No obstante, el antecedente con mayor reconocimiento data del año 1985, cuando al interior de la Universidad Nacional Autónoma de México, nace la denominada “Defensoría de los Derechos Universitarios”, como una instancia en la que las y los estudiantes podían interponer reclamaciones cuando vieran vulnerados sus derechos por algún otro miembro de la comunidad universitaria.</w:t>
      </w:r>
    </w:p>
    <w:p w14:paraId="4351C4FC" w14:textId="77777777" w:rsidR="0099472E" w:rsidRPr="0099472E" w:rsidRDefault="0099472E" w:rsidP="0099472E">
      <w:pPr>
        <w:spacing w:line="360" w:lineRule="auto"/>
        <w:ind w:firstLine="708"/>
        <w:jc w:val="both"/>
        <w:rPr>
          <w:rFonts w:ascii="Century Gothic" w:eastAsia="Malgun Gothic" w:hAnsi="Century Gothic" w:cs="Arial"/>
          <w:sz w:val="24"/>
          <w:szCs w:val="24"/>
          <w:lang w:val="es-ES"/>
        </w:rPr>
      </w:pPr>
      <w:r w:rsidRPr="0099472E">
        <w:rPr>
          <w:rFonts w:ascii="Century Gothic" w:eastAsia="Malgun Gothic" w:hAnsi="Century Gothic" w:cs="Arial"/>
          <w:sz w:val="24"/>
          <w:szCs w:val="24"/>
          <w:lang w:val="es-ES"/>
        </w:rPr>
        <w:t xml:space="preserve">A pesar de la distancia en la línea temporal, que existe entre el surgimiento de la figura del </w:t>
      </w:r>
      <w:r w:rsidRPr="0099472E">
        <w:rPr>
          <w:rFonts w:ascii="Century Gothic" w:eastAsia="Malgun Gothic" w:hAnsi="Century Gothic" w:cs="Arial"/>
          <w:i/>
          <w:iCs/>
          <w:sz w:val="24"/>
          <w:szCs w:val="24"/>
          <w:lang w:val="es-ES"/>
        </w:rPr>
        <w:t>Ombudsman</w:t>
      </w:r>
      <w:r w:rsidRPr="0099472E">
        <w:rPr>
          <w:rFonts w:ascii="Century Gothic" w:eastAsia="Malgun Gothic" w:hAnsi="Century Gothic" w:cs="Arial"/>
          <w:sz w:val="24"/>
          <w:szCs w:val="24"/>
          <w:lang w:val="es-ES"/>
        </w:rPr>
        <w:t xml:space="preserve"> hasta la actualidad, el propósito de los órganos de esta naturaleza persiste en la labor como defensores de derechos humanos. Así pues, después de poco más de doscientos años, y diversas mutaciones, la figura del Ombudsman ha sido fundamental para el desarrollo de sociedades democráticas.</w:t>
      </w:r>
    </w:p>
    <w:p w14:paraId="1F0D7E1E" w14:textId="77777777" w:rsidR="00A42370" w:rsidRDefault="0099472E" w:rsidP="0099472E">
      <w:pPr>
        <w:spacing w:line="360" w:lineRule="auto"/>
        <w:ind w:firstLine="708"/>
        <w:jc w:val="both"/>
        <w:rPr>
          <w:rFonts w:ascii="Century Gothic" w:eastAsia="Malgun Gothic" w:hAnsi="Century Gothic" w:cs="Arial"/>
          <w:sz w:val="24"/>
          <w:szCs w:val="24"/>
          <w:lang w:val="es-ES"/>
        </w:rPr>
      </w:pPr>
      <w:r w:rsidRPr="0099472E">
        <w:rPr>
          <w:rFonts w:ascii="Century Gothic" w:eastAsia="Malgun Gothic" w:hAnsi="Century Gothic" w:cs="Arial"/>
          <w:sz w:val="24"/>
          <w:szCs w:val="24"/>
          <w:lang w:val="es-ES"/>
        </w:rPr>
        <w:lastRenderedPageBreak/>
        <w:t>Desde la protección de los derechos universitarios en la Universidad de Bolonia durante el siglo XI, hasta el modelo propuesto por el entonces rector de la UNAM el Dr. Jorge Carpizo en 1985, hoy en día, la presencia de mecanismos de protección de derechos humanos en contextos universitarios se ha hecho más frecuente.</w:t>
      </w:r>
    </w:p>
    <w:p w14:paraId="7C90FDF3" w14:textId="15734D1D" w:rsidR="004F0D76" w:rsidRPr="00AF0C2B" w:rsidRDefault="0099472E" w:rsidP="0099472E">
      <w:pPr>
        <w:spacing w:line="360" w:lineRule="auto"/>
        <w:ind w:firstLine="708"/>
        <w:jc w:val="both"/>
        <w:rPr>
          <w:rFonts w:ascii="Century Gothic" w:eastAsia="Malgun Gothic" w:hAnsi="Century Gothic" w:cs="Arial"/>
          <w:i/>
          <w:sz w:val="24"/>
          <w:szCs w:val="24"/>
          <w:lang w:val="es-ES"/>
        </w:rPr>
      </w:pPr>
      <w:r>
        <w:rPr>
          <w:rFonts w:ascii="Century Gothic" w:eastAsia="Malgun Gothic" w:hAnsi="Century Gothic" w:cs="Arial"/>
          <w:sz w:val="24"/>
          <w:szCs w:val="24"/>
          <w:lang w:val="es-ES"/>
        </w:rPr>
        <w:t xml:space="preserve"> E</w:t>
      </w:r>
      <w:r w:rsidR="00A42370">
        <w:rPr>
          <w:rFonts w:ascii="Century Gothic" w:eastAsia="Malgun Gothic" w:hAnsi="Century Gothic" w:cs="Arial"/>
          <w:sz w:val="24"/>
          <w:szCs w:val="24"/>
          <w:lang w:val="es-ES"/>
        </w:rPr>
        <w:t>n México, el</w:t>
      </w:r>
      <w:r w:rsidR="00990E74" w:rsidRPr="00AF0C2B">
        <w:rPr>
          <w:rFonts w:ascii="Century Gothic" w:eastAsia="Malgun Gothic" w:hAnsi="Century Gothic" w:cs="Arial"/>
          <w:sz w:val="24"/>
          <w:szCs w:val="24"/>
          <w:lang w:val="es-ES"/>
        </w:rPr>
        <w:t xml:space="preserve"> 28 de enero de 1992 se publicó en el Diario Oficial de la Federación, el Decreto por el que se reforma el artículo 102 de la Constitución Política de los Estados Unidos Mexicanos, para introduci</w:t>
      </w:r>
      <w:r w:rsidR="00785BBE" w:rsidRPr="00AF0C2B">
        <w:rPr>
          <w:rFonts w:ascii="Century Gothic" w:eastAsia="Malgun Gothic" w:hAnsi="Century Gothic" w:cs="Arial"/>
          <w:sz w:val="24"/>
          <w:szCs w:val="24"/>
          <w:lang w:val="es-ES"/>
        </w:rPr>
        <w:t>r en el texto de la Carta Magna</w:t>
      </w:r>
      <w:r w:rsidR="00990E74" w:rsidRPr="00AF0C2B">
        <w:rPr>
          <w:rFonts w:ascii="Century Gothic" w:eastAsia="Malgun Gothic" w:hAnsi="Century Gothic" w:cs="Arial"/>
          <w:sz w:val="24"/>
          <w:szCs w:val="24"/>
          <w:lang w:val="es-ES"/>
        </w:rPr>
        <w:t xml:space="preserve"> a los organismos </w:t>
      </w:r>
      <w:r w:rsidR="004F0D76" w:rsidRPr="00AF0C2B">
        <w:rPr>
          <w:rFonts w:ascii="Century Gothic" w:eastAsia="Malgun Gothic" w:hAnsi="Century Gothic" w:cs="Arial"/>
          <w:sz w:val="24"/>
          <w:szCs w:val="24"/>
          <w:lang w:val="es-ES"/>
        </w:rPr>
        <w:t xml:space="preserve">defensores de derechos humanos, su naturaleza, su competencia y el </w:t>
      </w:r>
      <w:r w:rsidR="00785BBE" w:rsidRPr="00AF0C2B">
        <w:rPr>
          <w:rFonts w:ascii="Century Gothic" w:eastAsia="Malgun Gothic" w:hAnsi="Century Gothic" w:cs="Arial"/>
          <w:sz w:val="24"/>
          <w:szCs w:val="24"/>
          <w:lang w:val="es-ES"/>
        </w:rPr>
        <w:t>alcance de sus determinaciones</w:t>
      </w:r>
      <w:r w:rsidR="00E253AF" w:rsidRPr="00AF0C2B">
        <w:rPr>
          <w:rFonts w:ascii="Century Gothic" w:eastAsia="Malgun Gothic" w:hAnsi="Century Gothic" w:cs="Arial"/>
          <w:sz w:val="24"/>
          <w:szCs w:val="24"/>
          <w:lang w:val="es-ES"/>
        </w:rPr>
        <w:t>.</w:t>
      </w:r>
    </w:p>
    <w:p w14:paraId="616B4BE9" w14:textId="77777777" w:rsidR="004F0D76" w:rsidRPr="00AF0C2B" w:rsidRDefault="00501840"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A</w:t>
      </w:r>
      <w:r w:rsidR="004F0D76" w:rsidRPr="00AF0C2B">
        <w:rPr>
          <w:rFonts w:ascii="Century Gothic" w:eastAsia="Malgun Gothic" w:hAnsi="Century Gothic" w:cs="Arial"/>
          <w:sz w:val="24"/>
          <w:szCs w:val="24"/>
          <w:lang w:val="es-ES"/>
        </w:rPr>
        <w:t xml:space="preserve"> partir de la vigencia de la referida reforma constitucional, en el artículo 102, apartado B de la Constitución Política de los Estado</w:t>
      </w:r>
      <w:r w:rsidRPr="00AF0C2B">
        <w:rPr>
          <w:rFonts w:ascii="Century Gothic" w:eastAsia="Malgun Gothic" w:hAnsi="Century Gothic" w:cs="Arial"/>
          <w:sz w:val="24"/>
          <w:szCs w:val="24"/>
          <w:lang w:val="es-ES"/>
        </w:rPr>
        <w:t>s Unidos Mexicanos, se estableció</w:t>
      </w:r>
      <w:r w:rsidR="004F0D76" w:rsidRPr="00AF0C2B">
        <w:rPr>
          <w:rFonts w:ascii="Century Gothic" w:eastAsia="Malgun Gothic" w:hAnsi="Century Gothic" w:cs="Arial"/>
          <w:sz w:val="24"/>
          <w:szCs w:val="24"/>
          <w:lang w:val="es-ES"/>
        </w:rPr>
        <w:t xml:space="preserve"> la estructura y funcionamiento genérico de estos organismos, instruyendo a los Poderes Legislativos Federal y Estatal a que en el ámbito de sus respectivas competencias </w:t>
      </w:r>
      <w:r w:rsidRPr="00AF0C2B">
        <w:rPr>
          <w:rFonts w:ascii="Century Gothic" w:eastAsia="Malgun Gothic" w:hAnsi="Century Gothic" w:cs="Arial"/>
          <w:sz w:val="24"/>
          <w:szCs w:val="24"/>
          <w:lang w:val="es-ES"/>
        </w:rPr>
        <w:t>se crearan</w:t>
      </w:r>
      <w:r w:rsidR="001C18C5" w:rsidRPr="00AF0C2B">
        <w:rPr>
          <w:rFonts w:ascii="Century Gothic" w:eastAsia="Malgun Gothic" w:hAnsi="Century Gothic" w:cs="Arial"/>
          <w:sz w:val="24"/>
          <w:szCs w:val="24"/>
          <w:lang w:val="es-ES"/>
        </w:rPr>
        <w:t xml:space="preserve"> los Organismos Públicos de Derechos Humanos,</w:t>
      </w:r>
      <w:r w:rsidRPr="00AF0C2B">
        <w:rPr>
          <w:rFonts w:ascii="Century Gothic" w:eastAsia="Malgun Gothic" w:hAnsi="Century Gothic" w:cs="Arial"/>
          <w:sz w:val="24"/>
          <w:szCs w:val="24"/>
          <w:lang w:val="es-ES"/>
        </w:rPr>
        <w:t xml:space="preserve"> que desde un ámbito no jurisdiccional conocieran </w:t>
      </w:r>
      <w:r w:rsidR="001C18C5" w:rsidRPr="00AF0C2B">
        <w:rPr>
          <w:rFonts w:ascii="Century Gothic" w:eastAsia="Malgun Gothic" w:hAnsi="Century Gothic" w:cs="Arial"/>
          <w:sz w:val="24"/>
          <w:szCs w:val="24"/>
          <w:lang w:val="es-ES"/>
        </w:rPr>
        <w:t>de quejas en contra de actos u omisiones de naturaleza administrativa provenientes de cualquier autoridad o perso</w:t>
      </w:r>
      <w:r w:rsidR="00785BBE" w:rsidRPr="00AF0C2B">
        <w:rPr>
          <w:rFonts w:ascii="Century Gothic" w:eastAsia="Malgun Gothic" w:hAnsi="Century Gothic" w:cs="Arial"/>
          <w:sz w:val="24"/>
          <w:szCs w:val="24"/>
          <w:lang w:val="es-ES"/>
        </w:rPr>
        <w:t>na servidora pública;</w:t>
      </w:r>
      <w:r w:rsidR="001C18C5" w:rsidRPr="00AF0C2B">
        <w:rPr>
          <w:rFonts w:ascii="Century Gothic" w:eastAsia="Malgun Gothic" w:hAnsi="Century Gothic" w:cs="Arial"/>
          <w:sz w:val="24"/>
          <w:szCs w:val="24"/>
          <w:lang w:val="es-ES"/>
        </w:rPr>
        <w:t xml:space="preserve"> </w:t>
      </w:r>
      <w:r w:rsidRPr="00AF0C2B">
        <w:rPr>
          <w:rFonts w:ascii="Century Gothic" w:eastAsia="Malgun Gothic" w:hAnsi="Century Gothic" w:cs="Arial"/>
          <w:sz w:val="24"/>
          <w:szCs w:val="24"/>
          <w:lang w:val="es-ES"/>
        </w:rPr>
        <w:t>y al mismo tiempo promovieran, difundieran y estudiaran los derechos humanos.</w:t>
      </w:r>
    </w:p>
    <w:p w14:paraId="6C4C1491" w14:textId="77777777" w:rsidR="001C18C5" w:rsidRPr="00AF0C2B" w:rsidRDefault="00501840" w:rsidP="00AF0C2B">
      <w:pPr>
        <w:spacing w:line="360" w:lineRule="auto"/>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ab/>
        <w:t>L</w:t>
      </w:r>
      <w:r w:rsidR="001C18C5" w:rsidRPr="00AF0C2B">
        <w:rPr>
          <w:rFonts w:ascii="Century Gothic" w:eastAsia="Malgun Gothic" w:hAnsi="Century Gothic" w:cs="Arial"/>
          <w:sz w:val="24"/>
          <w:szCs w:val="24"/>
          <w:lang w:val="es-ES"/>
        </w:rPr>
        <w:t>a protección no jurisdiccional de los derechos humanos ha experimentado una evolución histórica que se concreta actualmente en los Organismos Públicos de Derechos Humanos, que existen en cada una de las entidades federativas, así como una institución federal denominada Comisión Nacional de los Derechos Humanos.</w:t>
      </w:r>
    </w:p>
    <w:p w14:paraId="3DBDE03C" w14:textId="2A3AEC48" w:rsidR="00FC6D04" w:rsidRPr="00AF0C2B" w:rsidRDefault="00FC6D04"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lastRenderedPageBreak/>
        <w:t xml:space="preserve">En nuestro Estado, el </w:t>
      </w:r>
      <w:r w:rsidR="00C930DC" w:rsidRPr="00AF0C2B">
        <w:rPr>
          <w:rFonts w:ascii="Century Gothic" w:eastAsia="Malgun Gothic" w:hAnsi="Century Gothic" w:cs="Arial"/>
          <w:sz w:val="24"/>
          <w:szCs w:val="24"/>
          <w:lang w:val="es-ES"/>
        </w:rPr>
        <w:t>28 de enero de 1993 fue</w:t>
      </w:r>
      <w:r w:rsidR="006D1B43" w:rsidRPr="00AF0C2B">
        <w:rPr>
          <w:rFonts w:ascii="Century Gothic" w:eastAsia="Malgun Gothic" w:hAnsi="Century Gothic" w:cs="Arial"/>
          <w:sz w:val="24"/>
          <w:szCs w:val="24"/>
          <w:lang w:val="es-ES"/>
        </w:rPr>
        <w:t xml:space="preserve"> publica</w:t>
      </w:r>
      <w:r w:rsidR="00C930DC" w:rsidRPr="00AF0C2B">
        <w:rPr>
          <w:rFonts w:ascii="Century Gothic" w:eastAsia="Malgun Gothic" w:hAnsi="Century Gothic" w:cs="Arial"/>
          <w:sz w:val="24"/>
          <w:szCs w:val="24"/>
          <w:lang w:val="es-ES"/>
        </w:rPr>
        <w:t>do</w:t>
      </w:r>
      <w:r w:rsidR="006D1B43" w:rsidRPr="00AF0C2B">
        <w:rPr>
          <w:rFonts w:ascii="Century Gothic" w:eastAsia="Malgun Gothic" w:hAnsi="Century Gothic" w:cs="Arial"/>
          <w:sz w:val="24"/>
          <w:szCs w:val="24"/>
          <w:lang w:val="es-ES"/>
        </w:rPr>
        <w:t xml:space="preserve"> en el Diario Oficial del Gobierno del Estado, el decreto número 539, expedi</w:t>
      </w:r>
      <w:r w:rsidR="00785BBE" w:rsidRPr="00AF0C2B">
        <w:rPr>
          <w:rFonts w:ascii="Century Gothic" w:eastAsia="Malgun Gothic" w:hAnsi="Century Gothic" w:cs="Arial"/>
          <w:sz w:val="24"/>
          <w:szCs w:val="24"/>
          <w:lang w:val="es-ES"/>
        </w:rPr>
        <w:t xml:space="preserve">do por el Congreso del Estado </w:t>
      </w:r>
      <w:r w:rsidR="006D1B43" w:rsidRPr="00AF0C2B">
        <w:rPr>
          <w:rFonts w:ascii="Century Gothic" w:eastAsia="Malgun Gothic" w:hAnsi="Century Gothic" w:cs="Arial"/>
          <w:sz w:val="24"/>
          <w:szCs w:val="24"/>
          <w:lang w:val="es-ES"/>
        </w:rPr>
        <w:t xml:space="preserve">mediante el cual se aprobó la </w:t>
      </w:r>
      <w:r w:rsidR="006D1B43" w:rsidRPr="00AF0C2B">
        <w:rPr>
          <w:rFonts w:ascii="Century Gothic" w:eastAsia="Malgun Gothic" w:hAnsi="Century Gothic" w:cs="Arial"/>
          <w:i/>
          <w:sz w:val="24"/>
          <w:szCs w:val="24"/>
          <w:lang w:val="es-ES"/>
        </w:rPr>
        <w:t xml:space="preserve">Ley que crea la Comisión de Derechos Humanos del Estado de Yucatán, </w:t>
      </w:r>
      <w:r w:rsidR="006D1B43" w:rsidRPr="00AF0C2B">
        <w:rPr>
          <w:rFonts w:ascii="Century Gothic" w:eastAsia="Malgun Gothic" w:hAnsi="Century Gothic" w:cs="Arial"/>
          <w:sz w:val="24"/>
          <w:szCs w:val="24"/>
          <w:lang w:val="es-ES"/>
        </w:rPr>
        <w:t>concibiendo el génesis del organismo a nivel estatal y designando mediante decreto 545, publicado el día 4 de marzo de 1993, al primer Presidente encargado de la Comisión de Derechos Humanos del Estado de Yucatán</w:t>
      </w:r>
      <w:r w:rsidR="00D84E10">
        <w:rPr>
          <w:rFonts w:ascii="Century Gothic" w:eastAsia="Malgun Gothic" w:hAnsi="Century Gothic" w:cs="Arial"/>
          <w:sz w:val="24"/>
          <w:szCs w:val="24"/>
          <w:lang w:val="es-ES"/>
        </w:rPr>
        <w:t>, el cual iniciaría funciones del 3 de marzo de 1993 al 2 de marzo de 1997</w:t>
      </w:r>
      <w:r w:rsidR="006D1B43" w:rsidRPr="00AF0C2B">
        <w:rPr>
          <w:rFonts w:ascii="Century Gothic" w:eastAsia="Malgun Gothic" w:hAnsi="Century Gothic" w:cs="Arial"/>
          <w:sz w:val="24"/>
          <w:szCs w:val="24"/>
          <w:lang w:val="es-ES"/>
        </w:rPr>
        <w:t>. En este primer ordenamiento jurídico se estableció el objeto del organismo el cual está encaminado a la protección, observancia, promoción, estudio y divulgación de los derechos humanos previstos por el ord</w:t>
      </w:r>
      <w:r w:rsidR="00940554" w:rsidRPr="00AF0C2B">
        <w:rPr>
          <w:rFonts w:ascii="Century Gothic" w:eastAsia="Malgun Gothic" w:hAnsi="Century Gothic" w:cs="Arial"/>
          <w:sz w:val="24"/>
          <w:szCs w:val="24"/>
          <w:lang w:val="es-ES"/>
        </w:rPr>
        <w:t>en jurídico nacional y estatal.</w:t>
      </w:r>
    </w:p>
    <w:p w14:paraId="38502474" w14:textId="77777777" w:rsidR="00F60CF1" w:rsidRPr="00AF0C2B" w:rsidRDefault="005D3896"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Años más tarde, el</w:t>
      </w:r>
      <w:r w:rsidR="006C6D41" w:rsidRPr="00AF0C2B">
        <w:rPr>
          <w:rFonts w:ascii="Century Gothic" w:eastAsia="Malgun Gothic" w:hAnsi="Century Gothic" w:cs="Arial"/>
          <w:sz w:val="24"/>
          <w:szCs w:val="24"/>
          <w:lang w:val="es-ES"/>
        </w:rPr>
        <w:t xml:space="preserve"> 23 de abril de 2002, se publicó</w:t>
      </w:r>
      <w:r w:rsidRPr="00AF0C2B">
        <w:rPr>
          <w:rFonts w:ascii="Century Gothic" w:eastAsia="Malgun Gothic" w:hAnsi="Century Gothic" w:cs="Arial"/>
          <w:sz w:val="24"/>
          <w:szCs w:val="24"/>
          <w:lang w:val="es-ES"/>
        </w:rPr>
        <w:t xml:space="preserve"> en el Diario Oficial del Gobiern</w:t>
      </w:r>
      <w:r w:rsidR="00F60CF1" w:rsidRPr="00AF0C2B">
        <w:rPr>
          <w:rFonts w:ascii="Century Gothic" w:eastAsia="Malgun Gothic" w:hAnsi="Century Gothic" w:cs="Arial"/>
          <w:sz w:val="24"/>
          <w:szCs w:val="24"/>
          <w:lang w:val="es-ES"/>
        </w:rPr>
        <w:t xml:space="preserve">o del Estado, el Decreto 124, la </w:t>
      </w:r>
      <w:r w:rsidR="00F60CF1" w:rsidRPr="00AF0C2B">
        <w:rPr>
          <w:rFonts w:ascii="Century Gothic" w:eastAsia="Malgun Gothic" w:hAnsi="Century Gothic" w:cs="Arial"/>
          <w:i/>
          <w:sz w:val="24"/>
          <w:szCs w:val="24"/>
          <w:lang w:val="es-ES"/>
        </w:rPr>
        <w:t>Ley de la Comisión de Derechos Humanos del Estado de Yucatán.</w:t>
      </w:r>
      <w:r w:rsidR="006C6D41" w:rsidRPr="00AF0C2B">
        <w:rPr>
          <w:rFonts w:ascii="Century Gothic" w:eastAsia="Malgun Gothic" w:hAnsi="Century Gothic" w:cs="Arial"/>
          <w:i/>
          <w:sz w:val="24"/>
          <w:szCs w:val="24"/>
          <w:lang w:val="es-ES"/>
        </w:rPr>
        <w:t xml:space="preserve"> </w:t>
      </w:r>
      <w:r w:rsidR="00F60CF1" w:rsidRPr="00AF0C2B">
        <w:rPr>
          <w:rFonts w:ascii="Century Gothic" w:eastAsia="Malgun Gothic" w:hAnsi="Century Gothic" w:cs="Arial"/>
          <w:sz w:val="24"/>
          <w:szCs w:val="24"/>
          <w:lang w:val="es-ES"/>
        </w:rPr>
        <w:t xml:space="preserve">La aprobación de esta Ley se sustentó en la necesidad de reconocerle al organismo defensor de derechos humanos su plena autonomía, y ampliar su objeto a la protección, la defensa, promoción, estudio y divulgación de los derechos humanos, pero también para propiciar una cultura de respeto hacia los derechos humanos. Es así, </w:t>
      </w:r>
      <w:r w:rsidR="00274E28" w:rsidRPr="00AF0C2B">
        <w:rPr>
          <w:rFonts w:ascii="Century Gothic" w:eastAsia="Malgun Gothic" w:hAnsi="Century Gothic" w:cs="Arial"/>
          <w:sz w:val="24"/>
          <w:szCs w:val="24"/>
          <w:lang w:val="es-ES"/>
        </w:rPr>
        <w:t>que,</w:t>
      </w:r>
      <w:r w:rsidR="00F60CF1" w:rsidRPr="00AF0C2B">
        <w:rPr>
          <w:rFonts w:ascii="Century Gothic" w:eastAsia="Malgun Gothic" w:hAnsi="Century Gothic" w:cs="Arial"/>
          <w:sz w:val="24"/>
          <w:szCs w:val="24"/>
          <w:lang w:val="es-ES"/>
        </w:rPr>
        <w:t xml:space="preserve"> a través de sus disposiciones, se determina la organización, funcionamiento, competencia y procedimientos de la Comisión de Derechos Humanos del Estado de Yucatán.</w:t>
      </w:r>
    </w:p>
    <w:p w14:paraId="75935AFE" w14:textId="065DEAC9" w:rsidR="002C15DF" w:rsidRPr="00AF0C2B" w:rsidRDefault="006C6D41" w:rsidP="00AF0C2B">
      <w:pPr>
        <w:spacing w:line="360" w:lineRule="auto"/>
        <w:ind w:firstLine="708"/>
        <w:jc w:val="both"/>
        <w:rPr>
          <w:rFonts w:ascii="Century Gothic" w:eastAsia="Malgun Gothic" w:hAnsi="Century Gothic" w:cs="Arial"/>
          <w:i/>
          <w:sz w:val="24"/>
          <w:szCs w:val="24"/>
          <w:lang w:val="es-ES"/>
        </w:rPr>
      </w:pPr>
      <w:r w:rsidRPr="00AF0C2B">
        <w:rPr>
          <w:rFonts w:ascii="Century Gothic" w:eastAsia="Malgun Gothic" w:hAnsi="Century Gothic" w:cs="Arial"/>
          <w:sz w:val="24"/>
          <w:szCs w:val="24"/>
          <w:lang w:val="es-ES"/>
        </w:rPr>
        <w:t>L</w:t>
      </w:r>
      <w:r w:rsidR="00274E28" w:rsidRPr="00AF0C2B">
        <w:rPr>
          <w:rFonts w:ascii="Century Gothic" w:eastAsia="Malgun Gothic" w:hAnsi="Century Gothic" w:cs="Arial"/>
          <w:sz w:val="24"/>
          <w:szCs w:val="24"/>
          <w:lang w:val="es-ES"/>
        </w:rPr>
        <w:t>a reforma constitucional que ha sido más relevante en materia de derechos humanos</w:t>
      </w:r>
      <w:r w:rsidRPr="00AF0C2B">
        <w:rPr>
          <w:rFonts w:ascii="Century Gothic" w:eastAsia="Malgun Gothic" w:hAnsi="Century Gothic" w:cs="Arial"/>
          <w:sz w:val="24"/>
          <w:szCs w:val="24"/>
          <w:lang w:val="es-ES"/>
        </w:rPr>
        <w:t xml:space="preserve"> en nuestro sistema jurídico</w:t>
      </w:r>
      <w:r w:rsidR="00274E28" w:rsidRPr="00AF0C2B">
        <w:rPr>
          <w:rFonts w:ascii="Century Gothic" w:eastAsia="Malgun Gothic" w:hAnsi="Century Gothic" w:cs="Arial"/>
          <w:sz w:val="24"/>
          <w:szCs w:val="24"/>
          <w:lang w:val="es-ES"/>
        </w:rPr>
        <w:t xml:space="preserve">, es la contenida en el decreto </w:t>
      </w:r>
      <w:r w:rsidR="00AC7233" w:rsidRPr="00AF0C2B">
        <w:rPr>
          <w:rFonts w:ascii="Century Gothic" w:eastAsia="Malgun Gothic" w:hAnsi="Century Gothic" w:cs="Arial"/>
          <w:sz w:val="24"/>
          <w:szCs w:val="24"/>
          <w:lang w:val="es-ES"/>
        </w:rPr>
        <w:t>que modificó</w:t>
      </w:r>
      <w:r w:rsidR="00274E28" w:rsidRPr="00AF0C2B">
        <w:rPr>
          <w:rFonts w:ascii="Century Gothic" w:eastAsia="Malgun Gothic" w:hAnsi="Century Gothic" w:cs="Arial"/>
          <w:sz w:val="24"/>
          <w:szCs w:val="24"/>
          <w:lang w:val="es-ES"/>
        </w:rPr>
        <w:t xml:space="preserve"> la denominación del Capítulo I del Título Primero y reform</w:t>
      </w:r>
      <w:r w:rsidR="00B647BE" w:rsidRPr="00AF0C2B">
        <w:rPr>
          <w:rFonts w:ascii="Century Gothic" w:eastAsia="Malgun Gothic" w:hAnsi="Century Gothic" w:cs="Arial"/>
          <w:sz w:val="24"/>
          <w:szCs w:val="24"/>
          <w:lang w:val="es-ES"/>
        </w:rPr>
        <w:t>ó</w:t>
      </w:r>
      <w:r w:rsidR="00274E28" w:rsidRPr="00AF0C2B">
        <w:rPr>
          <w:rFonts w:ascii="Century Gothic" w:eastAsia="Malgun Gothic" w:hAnsi="Century Gothic" w:cs="Arial"/>
          <w:sz w:val="24"/>
          <w:szCs w:val="24"/>
          <w:lang w:val="es-ES"/>
        </w:rPr>
        <w:t xml:space="preserve"> diversos artículos de la Constitución Política de los Estados Unidos Mexicanos, publicada en el Diario Oficial de la Federación, en fecha 10 de junio de 2011. </w:t>
      </w:r>
      <w:r w:rsidR="00274E28" w:rsidRPr="00AF0C2B">
        <w:rPr>
          <w:rFonts w:ascii="Century Gothic" w:eastAsia="Malgun Gothic" w:hAnsi="Century Gothic" w:cs="Arial"/>
          <w:sz w:val="24"/>
          <w:szCs w:val="24"/>
          <w:lang w:val="es-ES"/>
        </w:rPr>
        <w:lastRenderedPageBreak/>
        <w:t>Esto se señala, a razón de la modificación del</w:t>
      </w:r>
      <w:r w:rsidR="00B647BE" w:rsidRPr="00AF0C2B">
        <w:rPr>
          <w:rFonts w:ascii="Century Gothic" w:eastAsia="Malgun Gothic" w:hAnsi="Century Gothic" w:cs="Arial"/>
          <w:sz w:val="24"/>
          <w:szCs w:val="24"/>
          <w:lang w:val="es-ES"/>
        </w:rPr>
        <w:t xml:space="preserve"> artículo 1° constitucional, la cual </w:t>
      </w:r>
      <w:r w:rsidR="002C15DF" w:rsidRPr="00AF0C2B">
        <w:rPr>
          <w:rFonts w:ascii="Century Gothic" w:eastAsia="Malgun Gothic" w:hAnsi="Century Gothic" w:cs="Arial"/>
          <w:sz w:val="24"/>
          <w:szCs w:val="24"/>
          <w:lang w:val="es-ES"/>
        </w:rPr>
        <w:t xml:space="preserve">introdujo piezas constitucionales importantísimas, como lo son el </w:t>
      </w:r>
      <w:r w:rsidR="002C15DF" w:rsidRPr="00AF0C2B">
        <w:rPr>
          <w:rFonts w:ascii="Century Gothic" w:eastAsia="Malgun Gothic" w:hAnsi="Century Gothic" w:cs="Arial"/>
          <w:i/>
          <w:sz w:val="24"/>
          <w:szCs w:val="24"/>
          <w:lang w:val="es-ES"/>
        </w:rPr>
        <w:t>bloque de constitucionalidad, la interpretación conforme y el principio</w:t>
      </w:r>
      <w:r w:rsidR="002C15DF" w:rsidRPr="00AF0C2B">
        <w:rPr>
          <w:rFonts w:ascii="Century Gothic" w:eastAsia="Malgun Gothic" w:hAnsi="Century Gothic" w:cs="Arial"/>
          <w:sz w:val="24"/>
          <w:szCs w:val="24"/>
          <w:lang w:val="es-ES"/>
        </w:rPr>
        <w:t xml:space="preserve"> </w:t>
      </w:r>
      <w:r w:rsidR="002C15DF" w:rsidRPr="00AF0C2B">
        <w:rPr>
          <w:rFonts w:ascii="Century Gothic" w:eastAsia="Malgun Gothic" w:hAnsi="Century Gothic" w:cs="Arial"/>
          <w:i/>
          <w:sz w:val="24"/>
          <w:szCs w:val="24"/>
          <w:lang w:val="es-ES"/>
        </w:rPr>
        <w:t xml:space="preserve">pro </w:t>
      </w:r>
      <w:r w:rsidR="007D3794" w:rsidRPr="00AF0C2B">
        <w:rPr>
          <w:rFonts w:ascii="Century Gothic" w:eastAsia="Malgun Gothic" w:hAnsi="Century Gothic" w:cs="Arial"/>
          <w:i/>
          <w:sz w:val="24"/>
          <w:szCs w:val="24"/>
          <w:lang w:val="es-ES"/>
        </w:rPr>
        <w:t>persona</w:t>
      </w:r>
      <w:r w:rsidR="002C15DF" w:rsidRPr="00AF0C2B">
        <w:rPr>
          <w:rFonts w:ascii="Century Gothic" w:eastAsia="Malgun Gothic" w:hAnsi="Century Gothic" w:cs="Arial"/>
          <w:i/>
          <w:sz w:val="24"/>
          <w:szCs w:val="24"/>
          <w:lang w:val="es-ES"/>
        </w:rPr>
        <w:t>.</w:t>
      </w:r>
    </w:p>
    <w:p w14:paraId="3116AED9" w14:textId="77777777" w:rsidR="002C15DF" w:rsidRPr="00AF0C2B" w:rsidRDefault="002C15DF"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 xml:space="preserve">En el estado de Yucatán, el </w:t>
      </w:r>
      <w:r w:rsidR="00E01438" w:rsidRPr="00AF0C2B">
        <w:rPr>
          <w:rFonts w:ascii="Century Gothic" w:eastAsia="Malgun Gothic" w:hAnsi="Century Gothic" w:cs="Arial"/>
          <w:sz w:val="24"/>
          <w:szCs w:val="24"/>
          <w:lang w:val="es-ES"/>
        </w:rPr>
        <w:t xml:space="preserve">26 de julio de 2013, se publicó en el Diario Oficial del Gobierno del Estado, el Decreto 85, por el cual se reformaron diversos artículos de la Constitución Local, modificando su Título Primero para quedar como </w:t>
      </w:r>
      <w:r w:rsidR="00E01438" w:rsidRPr="00AF0C2B">
        <w:rPr>
          <w:rFonts w:ascii="Century Gothic" w:eastAsia="Malgun Gothic" w:hAnsi="Century Gothic" w:cs="Arial"/>
          <w:i/>
          <w:sz w:val="24"/>
          <w:szCs w:val="24"/>
          <w:lang w:val="es-ES"/>
        </w:rPr>
        <w:t xml:space="preserve">“De los Derechos Humanos y sus Garantías”, </w:t>
      </w:r>
      <w:r w:rsidR="00E01438" w:rsidRPr="00AF0C2B">
        <w:rPr>
          <w:rFonts w:ascii="Century Gothic" w:eastAsia="Malgun Gothic" w:hAnsi="Century Gothic" w:cs="Arial"/>
          <w:sz w:val="24"/>
          <w:szCs w:val="24"/>
          <w:lang w:val="es-ES"/>
        </w:rPr>
        <w:t>también adicionando y reformando el artículo 1 relativo a los derechos humanos con el objeto de armonizarlo con las disposiciones contenidas en la Constitución Federal.</w:t>
      </w:r>
    </w:p>
    <w:p w14:paraId="4E3E75F3" w14:textId="77777777" w:rsidR="000C5C22" w:rsidRPr="00AF0C2B" w:rsidRDefault="000C5C22"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Por lo anterior, a partir de la reforma constitucional en materia de derechos humanos efectuada en el año 2011, todas las autoridades del país tenemos la obligación de promover, respetar, proteger y garantizar los derechos humanos de conformidad con los principios de universalidad, interdependencia, indivisibilidad y progresividad; así</w:t>
      </w:r>
      <w:r w:rsidR="003C5B92" w:rsidRPr="00AF0C2B">
        <w:rPr>
          <w:rFonts w:ascii="Century Gothic" w:eastAsia="Malgun Gothic" w:hAnsi="Century Gothic" w:cs="Arial"/>
          <w:sz w:val="24"/>
          <w:szCs w:val="24"/>
          <w:lang w:val="es-ES"/>
        </w:rPr>
        <w:t xml:space="preserve"> como prevenir, investigar, sancionar y reparar las violaciones a los derechos humanos, en los términos que establezcan las leyes.</w:t>
      </w:r>
    </w:p>
    <w:p w14:paraId="4D3FD12E" w14:textId="77777777" w:rsidR="003C5B92" w:rsidRPr="00AF0C2B" w:rsidRDefault="003C5B92"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 xml:space="preserve">Una de las obligaciones a cargo de las autoridades del país a las que se ha hecho referencia, es la relativa al fomento de una cultura de respeto y promoción de los </w:t>
      </w:r>
      <w:r w:rsidR="00B647BE" w:rsidRPr="00AF0C2B">
        <w:rPr>
          <w:rFonts w:ascii="Century Gothic" w:eastAsia="Malgun Gothic" w:hAnsi="Century Gothic" w:cs="Arial"/>
          <w:sz w:val="24"/>
          <w:szCs w:val="24"/>
          <w:lang w:val="es-ES"/>
        </w:rPr>
        <w:t>derechos humanos, que permita co</w:t>
      </w:r>
      <w:r w:rsidRPr="00AF0C2B">
        <w:rPr>
          <w:rFonts w:ascii="Century Gothic" w:eastAsia="Malgun Gothic" w:hAnsi="Century Gothic" w:cs="Arial"/>
          <w:sz w:val="24"/>
          <w:szCs w:val="24"/>
          <w:lang w:val="es-ES"/>
        </w:rPr>
        <w:t xml:space="preserve">ntar con sociedades más justas e igualitarias, para construir un mundo mejor tanto para las actuales como </w:t>
      </w:r>
      <w:r w:rsidR="00B647BE" w:rsidRPr="00AF0C2B">
        <w:rPr>
          <w:rFonts w:ascii="Century Gothic" w:eastAsia="Malgun Gothic" w:hAnsi="Century Gothic" w:cs="Arial"/>
          <w:sz w:val="24"/>
          <w:szCs w:val="24"/>
          <w:lang w:val="es-ES"/>
        </w:rPr>
        <w:t>para las futuras generaciones; p</w:t>
      </w:r>
      <w:r w:rsidRPr="00AF0C2B">
        <w:rPr>
          <w:rFonts w:ascii="Century Gothic" w:eastAsia="Malgun Gothic" w:hAnsi="Century Gothic" w:cs="Arial"/>
          <w:sz w:val="24"/>
          <w:szCs w:val="24"/>
          <w:lang w:val="es-ES"/>
        </w:rPr>
        <w:t>or lo que se considera pertinente emprender una acción consecuente con la promoción y la difusión de los derechos humanos en nuestra entidad.</w:t>
      </w:r>
    </w:p>
    <w:p w14:paraId="2448ACC0" w14:textId="77777777" w:rsidR="001C6966" w:rsidRPr="00AF0C2B" w:rsidRDefault="001C6966"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La Comisión de Derechos Hu</w:t>
      </w:r>
      <w:r w:rsidR="00301BDE" w:rsidRPr="00AF0C2B">
        <w:rPr>
          <w:rFonts w:ascii="Century Gothic" w:eastAsia="Malgun Gothic" w:hAnsi="Century Gothic" w:cs="Arial"/>
          <w:sz w:val="24"/>
          <w:szCs w:val="24"/>
          <w:lang w:val="es-ES"/>
        </w:rPr>
        <w:t>manos del Estado de Yucatán por</w:t>
      </w:r>
      <w:r w:rsidRPr="00AF0C2B">
        <w:rPr>
          <w:rFonts w:ascii="Century Gothic" w:eastAsia="Malgun Gothic" w:hAnsi="Century Gothic" w:cs="Arial"/>
          <w:sz w:val="24"/>
          <w:szCs w:val="24"/>
          <w:lang w:val="es-ES"/>
        </w:rPr>
        <w:t xml:space="preserve"> casi treinta años ha fungido como un organismo referente para la protección y </w:t>
      </w:r>
      <w:r w:rsidRPr="00AF0C2B">
        <w:rPr>
          <w:rFonts w:ascii="Century Gothic" w:eastAsia="Malgun Gothic" w:hAnsi="Century Gothic" w:cs="Arial"/>
          <w:sz w:val="24"/>
          <w:szCs w:val="24"/>
          <w:lang w:val="es-ES"/>
        </w:rPr>
        <w:lastRenderedPageBreak/>
        <w:t>garantía de los derechos humanos en la entidad, pues no sólo ha conocido de quejas por presuntas violaciones a los derechos humanos y emitido en su caso la correspondiente recomendación, sino que igualmente ha logrado la conciliación entre las autoridades y las personas afectadas, privilegiando el</w:t>
      </w:r>
      <w:r w:rsidR="00F12A9D" w:rsidRPr="00AF0C2B">
        <w:rPr>
          <w:rFonts w:ascii="Century Gothic" w:eastAsia="Malgun Gothic" w:hAnsi="Century Gothic" w:cs="Arial"/>
          <w:sz w:val="24"/>
          <w:szCs w:val="24"/>
          <w:lang w:val="es-ES"/>
        </w:rPr>
        <w:t xml:space="preserve"> diálogo sobre la confrontación</w:t>
      </w:r>
      <w:r w:rsidR="007C35A0" w:rsidRPr="00AF0C2B">
        <w:rPr>
          <w:rFonts w:ascii="Century Gothic" w:eastAsia="Malgun Gothic" w:hAnsi="Century Gothic" w:cs="Arial"/>
          <w:sz w:val="24"/>
          <w:szCs w:val="24"/>
          <w:lang w:val="es-ES"/>
        </w:rPr>
        <w:t>; así como ha trabajado en difundir los derechos humanos en los 106 municipios y externado posicionamientos que permiten dirigir la actuación de las autoridades</w:t>
      </w:r>
      <w:r w:rsidR="00F12A9D" w:rsidRPr="00AF0C2B">
        <w:rPr>
          <w:rFonts w:ascii="Century Gothic" w:eastAsia="Malgun Gothic" w:hAnsi="Century Gothic" w:cs="Arial"/>
          <w:sz w:val="24"/>
          <w:szCs w:val="24"/>
          <w:lang w:val="es-ES"/>
        </w:rPr>
        <w:t>;</w:t>
      </w:r>
      <w:r w:rsidRPr="00AF0C2B">
        <w:rPr>
          <w:rFonts w:ascii="Century Gothic" w:eastAsia="Malgun Gothic" w:hAnsi="Century Gothic" w:cs="Arial"/>
          <w:sz w:val="24"/>
          <w:szCs w:val="24"/>
          <w:lang w:val="es-ES"/>
        </w:rPr>
        <w:t xml:space="preserve"> por lo cual este organismo protector de los derechos humanos, no es un límite externo a la actividad de las autoridades, sino que funge como una guía para lleva</w:t>
      </w:r>
      <w:r w:rsidR="007C35A0" w:rsidRPr="00AF0C2B">
        <w:rPr>
          <w:rFonts w:ascii="Century Gothic" w:eastAsia="Malgun Gothic" w:hAnsi="Century Gothic" w:cs="Arial"/>
          <w:sz w:val="24"/>
          <w:szCs w:val="24"/>
          <w:lang w:val="es-ES"/>
        </w:rPr>
        <w:t>r a buen cauce sus acciones, pues sin duda,</w:t>
      </w:r>
      <w:r w:rsidRPr="00AF0C2B">
        <w:rPr>
          <w:rFonts w:ascii="Century Gothic" w:eastAsia="Malgun Gothic" w:hAnsi="Century Gothic" w:cs="Arial"/>
          <w:sz w:val="24"/>
          <w:szCs w:val="24"/>
          <w:lang w:val="es-ES"/>
        </w:rPr>
        <w:t xml:space="preserve"> el respeto y protección de los derechos humanos no pueden concebirse como un asunto interno y por tanto ajeno, sino, al contrario como un elemento esencial para definir y orientar a la</w:t>
      </w:r>
      <w:r w:rsidR="007C35A0" w:rsidRPr="00AF0C2B">
        <w:rPr>
          <w:rFonts w:ascii="Century Gothic" w:eastAsia="Malgun Gothic" w:hAnsi="Century Gothic" w:cs="Arial"/>
          <w:sz w:val="24"/>
          <w:szCs w:val="24"/>
          <w:lang w:val="es-ES"/>
        </w:rPr>
        <w:t>s autoridades y a la</w:t>
      </w:r>
      <w:r w:rsidRPr="00AF0C2B">
        <w:rPr>
          <w:rFonts w:ascii="Century Gothic" w:eastAsia="Malgun Gothic" w:hAnsi="Century Gothic" w:cs="Arial"/>
          <w:sz w:val="24"/>
          <w:szCs w:val="24"/>
          <w:lang w:val="es-ES"/>
        </w:rPr>
        <w:t xml:space="preserve"> sociedad en general.</w:t>
      </w:r>
    </w:p>
    <w:p w14:paraId="13180FD4" w14:textId="68330CEA" w:rsidR="00E253AF" w:rsidRPr="00AF0C2B" w:rsidRDefault="00B6764A" w:rsidP="00AF0C2B">
      <w:pPr>
        <w:spacing w:line="360" w:lineRule="auto"/>
        <w:ind w:firstLine="708"/>
        <w:jc w:val="both"/>
        <w:rPr>
          <w:rFonts w:ascii="Century Gothic" w:eastAsia="Malgun Gothic" w:hAnsi="Century Gothic" w:cs="Arial"/>
          <w:sz w:val="24"/>
          <w:szCs w:val="24"/>
          <w:lang w:val="es-ES"/>
        </w:rPr>
      </w:pPr>
      <w:r w:rsidRPr="00AF0C2B">
        <w:rPr>
          <w:rFonts w:ascii="Century Gothic" w:eastAsia="Malgun Gothic" w:hAnsi="Century Gothic" w:cs="Arial"/>
          <w:sz w:val="24"/>
          <w:szCs w:val="24"/>
          <w:lang w:val="es-ES"/>
        </w:rPr>
        <w:t xml:space="preserve">En tal virtud, </w:t>
      </w:r>
      <w:r w:rsidR="00F54B68" w:rsidRPr="00AF0C2B">
        <w:rPr>
          <w:rFonts w:ascii="Century Gothic" w:eastAsia="Malgun Gothic" w:hAnsi="Century Gothic" w:cs="Arial"/>
          <w:sz w:val="24"/>
          <w:szCs w:val="24"/>
          <w:lang w:val="es-ES"/>
        </w:rPr>
        <w:t xml:space="preserve">se propone declarar como efeméride el día en que inició sus funciones la Comisión de Derechos Humanos del Estado de Yucatán, como </w:t>
      </w:r>
      <w:r w:rsidR="00F54B68" w:rsidRPr="00AF0C2B">
        <w:rPr>
          <w:rFonts w:ascii="Century Gothic" w:eastAsia="Malgun Gothic" w:hAnsi="Century Gothic" w:cs="Arial"/>
          <w:i/>
          <w:sz w:val="24"/>
          <w:szCs w:val="24"/>
          <w:lang w:val="es-ES"/>
        </w:rPr>
        <w:t>“Día Estatal de los Derechos Humanos”</w:t>
      </w:r>
      <w:r w:rsidR="00F54B68" w:rsidRPr="00AF0C2B">
        <w:rPr>
          <w:rFonts w:ascii="Century Gothic" w:eastAsia="Malgun Gothic" w:hAnsi="Century Gothic" w:cs="Arial"/>
          <w:sz w:val="24"/>
          <w:szCs w:val="24"/>
          <w:lang w:val="es-ES"/>
        </w:rPr>
        <w:t>,</w:t>
      </w:r>
      <w:r w:rsidR="00E43BF7">
        <w:rPr>
          <w:rFonts w:ascii="Century Gothic" w:eastAsia="Malgun Gothic" w:hAnsi="Century Gothic" w:cs="Arial"/>
          <w:sz w:val="24"/>
          <w:szCs w:val="24"/>
          <w:lang w:val="es-ES"/>
        </w:rPr>
        <w:t xml:space="preserve"> siendo este, el 3 de marzo de 1993; </w:t>
      </w:r>
      <w:r w:rsidR="00F54B68" w:rsidRPr="00AF0C2B">
        <w:rPr>
          <w:rFonts w:ascii="Century Gothic" w:eastAsia="Malgun Gothic" w:hAnsi="Century Gothic" w:cs="Arial"/>
          <w:sz w:val="24"/>
          <w:szCs w:val="24"/>
          <w:lang w:val="es-ES"/>
        </w:rPr>
        <w:t xml:space="preserve">atendiendo a la trascendencia histórica, jurídica y social de la creación de nuestra institución de derechos humanos, </w:t>
      </w:r>
      <w:r w:rsidR="00E253AF" w:rsidRPr="00AF0C2B">
        <w:rPr>
          <w:rFonts w:ascii="Century Gothic" w:eastAsia="Malgun Gothic" w:hAnsi="Century Gothic" w:cs="Arial"/>
          <w:sz w:val="24"/>
          <w:szCs w:val="24"/>
          <w:lang w:val="es-ES"/>
        </w:rPr>
        <w:t>sobre todo, por su contribución al estudio, protección y promoción de los dere</w:t>
      </w:r>
      <w:r w:rsidR="00A43C6B">
        <w:rPr>
          <w:rFonts w:ascii="Century Gothic" w:eastAsia="Malgun Gothic" w:hAnsi="Century Gothic" w:cs="Arial"/>
          <w:sz w:val="24"/>
          <w:szCs w:val="24"/>
          <w:lang w:val="es-ES"/>
        </w:rPr>
        <w:t>chos humanos en nuestra entidad</w:t>
      </w:r>
      <w:r w:rsidR="00E43BF7">
        <w:rPr>
          <w:rFonts w:ascii="Century Gothic" w:eastAsia="Malgun Gothic" w:hAnsi="Century Gothic" w:cs="Arial"/>
          <w:sz w:val="24"/>
          <w:szCs w:val="24"/>
          <w:lang w:val="es-ES"/>
        </w:rPr>
        <w:t>;</w:t>
      </w:r>
      <w:r w:rsidR="00A43C6B">
        <w:rPr>
          <w:rFonts w:ascii="Century Gothic" w:eastAsia="Malgun Gothic" w:hAnsi="Century Gothic" w:cs="Arial"/>
          <w:sz w:val="24"/>
          <w:szCs w:val="24"/>
          <w:lang w:val="es-ES"/>
        </w:rPr>
        <w:t xml:space="preserve"> </w:t>
      </w:r>
      <w:r w:rsidR="00E43BF7">
        <w:rPr>
          <w:rFonts w:ascii="Century Gothic" w:eastAsia="Malgun Gothic" w:hAnsi="Century Gothic" w:cs="Arial"/>
          <w:sz w:val="24"/>
          <w:szCs w:val="24"/>
          <w:lang w:val="es-ES"/>
        </w:rPr>
        <w:t>aunado a que ello se encuentra en</w:t>
      </w:r>
      <w:r w:rsidR="00A43C6B">
        <w:rPr>
          <w:rFonts w:ascii="Century Gothic" w:eastAsia="Malgun Gothic" w:hAnsi="Century Gothic" w:cs="Arial"/>
          <w:sz w:val="24"/>
          <w:szCs w:val="24"/>
          <w:lang w:val="es-ES"/>
        </w:rPr>
        <w:t xml:space="preserve"> conco</w:t>
      </w:r>
      <w:r w:rsidR="00E43BF7">
        <w:rPr>
          <w:rFonts w:ascii="Century Gothic" w:eastAsia="Malgun Gothic" w:hAnsi="Century Gothic" w:cs="Arial"/>
          <w:sz w:val="24"/>
          <w:szCs w:val="24"/>
          <w:lang w:val="es-ES"/>
        </w:rPr>
        <w:t>rdancia con la Agenda 2030 del Desarrollo S</w:t>
      </w:r>
      <w:r w:rsidR="00A43C6B">
        <w:rPr>
          <w:rFonts w:ascii="Century Gothic" w:eastAsia="Malgun Gothic" w:hAnsi="Century Gothic" w:cs="Arial"/>
          <w:sz w:val="24"/>
          <w:szCs w:val="24"/>
          <w:lang w:val="es-ES"/>
        </w:rPr>
        <w:t>ostenible, suscrita por nuestro país, que establece en su objetivo número 16, paz, justicia e instituciones sólidas.</w:t>
      </w:r>
    </w:p>
    <w:p w14:paraId="1D23F5D5" w14:textId="56EE5B8F" w:rsidR="00B6764A" w:rsidRPr="00AF0C2B" w:rsidRDefault="0099472E" w:rsidP="00AF0C2B">
      <w:pPr>
        <w:spacing w:line="360" w:lineRule="auto"/>
        <w:ind w:firstLine="708"/>
        <w:jc w:val="both"/>
        <w:rPr>
          <w:rFonts w:ascii="Century Gothic" w:eastAsia="Malgun Gothic" w:hAnsi="Century Gothic" w:cs="Arial"/>
          <w:sz w:val="24"/>
          <w:szCs w:val="24"/>
          <w:lang w:val="es-ES"/>
        </w:rPr>
      </w:pPr>
      <w:r>
        <w:rPr>
          <w:rFonts w:ascii="Century Gothic" w:eastAsia="Malgun Gothic" w:hAnsi="Century Gothic" w:cs="Arial"/>
          <w:sz w:val="24"/>
          <w:szCs w:val="24"/>
          <w:lang w:val="es-ES"/>
        </w:rPr>
        <w:t xml:space="preserve">Si bien, a nivel global ya ha sido definida la conmemoración de </w:t>
      </w:r>
      <w:r w:rsidR="00A8769F">
        <w:rPr>
          <w:rFonts w:ascii="Century Gothic" w:eastAsia="Malgun Gothic" w:hAnsi="Century Gothic" w:cs="Arial"/>
          <w:sz w:val="24"/>
          <w:szCs w:val="24"/>
          <w:lang w:val="es-ES"/>
        </w:rPr>
        <w:t xml:space="preserve">un Día de los Derechos Humanos, siendo este el </w:t>
      </w:r>
      <w:r>
        <w:rPr>
          <w:rFonts w:ascii="Century Gothic" w:eastAsia="Malgun Gothic" w:hAnsi="Century Gothic" w:cs="Arial"/>
          <w:sz w:val="24"/>
          <w:szCs w:val="24"/>
          <w:lang w:val="es-ES"/>
        </w:rPr>
        <w:t>10 de diciembre</w:t>
      </w:r>
      <w:r w:rsidR="00A8769F">
        <w:rPr>
          <w:rFonts w:ascii="Century Gothic" w:eastAsia="Malgun Gothic" w:hAnsi="Century Gothic" w:cs="Arial"/>
          <w:sz w:val="24"/>
          <w:szCs w:val="24"/>
          <w:lang w:val="es-ES"/>
        </w:rPr>
        <w:t xml:space="preserve"> de cada año</w:t>
      </w:r>
      <w:r>
        <w:rPr>
          <w:rFonts w:ascii="Century Gothic" w:eastAsia="Malgun Gothic" w:hAnsi="Century Gothic" w:cs="Arial"/>
          <w:sz w:val="24"/>
          <w:szCs w:val="24"/>
          <w:lang w:val="es-ES"/>
        </w:rPr>
        <w:t>, como recordatorio de la adopción de la Declaración Un</w:t>
      </w:r>
      <w:r w:rsidR="00A8769F">
        <w:rPr>
          <w:rFonts w:ascii="Century Gothic" w:eastAsia="Malgun Gothic" w:hAnsi="Century Gothic" w:cs="Arial"/>
          <w:sz w:val="24"/>
          <w:szCs w:val="24"/>
          <w:lang w:val="es-ES"/>
        </w:rPr>
        <w:t>iversal de los Derechos Humanos;</w:t>
      </w:r>
      <w:r>
        <w:rPr>
          <w:rFonts w:ascii="Century Gothic" w:eastAsia="Malgun Gothic" w:hAnsi="Century Gothic" w:cs="Arial"/>
          <w:sz w:val="24"/>
          <w:szCs w:val="24"/>
          <w:lang w:val="es-ES"/>
        </w:rPr>
        <w:t xml:space="preserve"> contar con una celebración local contribuye</w:t>
      </w:r>
      <w:r w:rsidR="00F54B68" w:rsidRPr="00AF0C2B">
        <w:rPr>
          <w:rFonts w:ascii="Century Gothic" w:eastAsia="Malgun Gothic" w:hAnsi="Century Gothic" w:cs="Arial"/>
          <w:sz w:val="24"/>
          <w:szCs w:val="24"/>
          <w:lang w:val="es-ES"/>
        </w:rPr>
        <w:t xml:space="preserve"> </w:t>
      </w:r>
      <w:r>
        <w:rPr>
          <w:rFonts w:ascii="Century Gothic" w:eastAsia="Malgun Gothic" w:hAnsi="Century Gothic" w:cs="Arial"/>
          <w:sz w:val="24"/>
          <w:szCs w:val="24"/>
          <w:lang w:val="es-ES"/>
        </w:rPr>
        <w:t>a</w:t>
      </w:r>
      <w:r w:rsidR="00F54B68" w:rsidRPr="00AF0C2B">
        <w:rPr>
          <w:rFonts w:ascii="Century Gothic" w:eastAsia="Malgun Gothic" w:hAnsi="Century Gothic" w:cs="Arial"/>
          <w:sz w:val="24"/>
          <w:szCs w:val="24"/>
          <w:lang w:val="es-ES"/>
        </w:rPr>
        <w:t xml:space="preserve"> la </w:t>
      </w:r>
      <w:r w:rsidR="00F54B68" w:rsidRPr="00AF0C2B">
        <w:rPr>
          <w:rFonts w:ascii="Century Gothic" w:eastAsia="Malgun Gothic" w:hAnsi="Century Gothic" w:cs="Arial"/>
          <w:sz w:val="24"/>
          <w:szCs w:val="24"/>
          <w:lang w:val="es-ES"/>
        </w:rPr>
        <w:lastRenderedPageBreak/>
        <w:t>reflexión de toda la sociedad, respecto a la necesidad de que la cultura de los derechos humanos sea la directriz fundamental de la actuación de las autoridades locales y para la sociedad, sea la guía que promueva los valores e ideales más elevados que encarnan los derechos humanos entre las personas, de manera que siembre raíces en la conciencia social de Yucatán, y nos permita acceder a condiciones de vida más justas, dignas y seguras para todas las personas.</w:t>
      </w:r>
    </w:p>
    <w:p w14:paraId="079AC09A" w14:textId="77777777" w:rsidR="00100521" w:rsidRPr="00AF0C2B" w:rsidRDefault="00AF0C2B" w:rsidP="00AF0C2B">
      <w:pPr>
        <w:spacing w:line="360" w:lineRule="auto"/>
        <w:ind w:firstLine="708"/>
        <w:jc w:val="both"/>
        <w:rPr>
          <w:rFonts w:ascii="Century Gothic" w:eastAsia="Malgun Gothic" w:hAnsi="Century Gothic" w:cs="Arial"/>
          <w:sz w:val="24"/>
          <w:szCs w:val="24"/>
          <w:lang w:val="es-ES"/>
        </w:rPr>
      </w:pPr>
      <w:r>
        <w:rPr>
          <w:rFonts w:ascii="Century Gothic" w:eastAsia="Malgun Gothic" w:hAnsi="Century Gothic" w:cs="Arial"/>
          <w:sz w:val="24"/>
          <w:szCs w:val="24"/>
          <w:lang w:val="es-ES"/>
        </w:rPr>
        <w:t>Por lo antes expuesto, presentamos</w:t>
      </w:r>
      <w:r w:rsidR="00100521" w:rsidRPr="00AF0C2B">
        <w:rPr>
          <w:rFonts w:ascii="Century Gothic" w:eastAsia="Malgun Gothic" w:hAnsi="Century Gothic" w:cs="Arial"/>
          <w:sz w:val="24"/>
          <w:szCs w:val="24"/>
          <w:lang w:val="es-ES"/>
        </w:rPr>
        <w:t xml:space="preserve"> a consideración de este Honorable Congreso del Estado para su revisión, análisis y en su caso aprobación, la siguiente inici</w:t>
      </w:r>
      <w:r>
        <w:rPr>
          <w:rFonts w:ascii="Century Gothic" w:eastAsia="Malgun Gothic" w:hAnsi="Century Gothic" w:cs="Arial"/>
          <w:sz w:val="24"/>
          <w:szCs w:val="24"/>
          <w:lang w:val="es-ES"/>
        </w:rPr>
        <w:t>ativa con</w:t>
      </w:r>
      <w:r w:rsidR="00100521" w:rsidRPr="00AF0C2B">
        <w:rPr>
          <w:rFonts w:ascii="Century Gothic" w:eastAsia="Malgun Gothic" w:hAnsi="Century Gothic" w:cs="Arial"/>
          <w:sz w:val="24"/>
          <w:szCs w:val="24"/>
          <w:lang w:val="es-ES"/>
        </w:rPr>
        <w:t>:</w:t>
      </w:r>
    </w:p>
    <w:p w14:paraId="56DB8DB7" w14:textId="77777777" w:rsidR="00100521" w:rsidRPr="00AF0C2B" w:rsidRDefault="00100521" w:rsidP="00AF0C2B">
      <w:pPr>
        <w:spacing w:line="360" w:lineRule="auto"/>
        <w:jc w:val="center"/>
        <w:rPr>
          <w:rFonts w:ascii="Century Gothic" w:eastAsia="Malgun Gothic" w:hAnsi="Century Gothic" w:cs="Arial"/>
          <w:b/>
          <w:sz w:val="24"/>
          <w:szCs w:val="24"/>
          <w:lang w:val="es-ES"/>
        </w:rPr>
      </w:pPr>
      <w:r w:rsidRPr="00AF0C2B">
        <w:rPr>
          <w:rFonts w:ascii="Century Gothic" w:eastAsia="Malgun Gothic" w:hAnsi="Century Gothic" w:cs="Arial"/>
          <w:b/>
          <w:sz w:val="24"/>
          <w:szCs w:val="24"/>
          <w:lang w:val="es-ES"/>
        </w:rPr>
        <w:t>PROYECTO DE DECRETO</w:t>
      </w:r>
    </w:p>
    <w:p w14:paraId="3FD8810B" w14:textId="55D21229" w:rsidR="00242635" w:rsidRPr="00AF0C2B" w:rsidRDefault="00242635" w:rsidP="00AF0C2B">
      <w:pPr>
        <w:spacing w:line="360" w:lineRule="auto"/>
        <w:jc w:val="both"/>
        <w:rPr>
          <w:rFonts w:ascii="Century Gothic" w:eastAsia="Malgun Gothic" w:hAnsi="Century Gothic" w:cs="Arial"/>
          <w:sz w:val="24"/>
          <w:szCs w:val="24"/>
          <w:lang w:val="es-ES"/>
        </w:rPr>
      </w:pPr>
      <w:r w:rsidRPr="00AF0C2B">
        <w:rPr>
          <w:rFonts w:ascii="Century Gothic" w:eastAsia="Malgun Gothic" w:hAnsi="Century Gothic" w:cs="Arial"/>
          <w:b/>
          <w:sz w:val="24"/>
          <w:szCs w:val="24"/>
          <w:lang w:val="es-ES"/>
        </w:rPr>
        <w:t xml:space="preserve">ARTÍCULO </w:t>
      </w:r>
      <w:r w:rsidR="00AF0C2B" w:rsidRPr="00AF0C2B">
        <w:rPr>
          <w:rFonts w:ascii="Century Gothic" w:eastAsia="Malgun Gothic" w:hAnsi="Century Gothic" w:cs="Arial"/>
          <w:b/>
          <w:sz w:val="24"/>
          <w:szCs w:val="24"/>
          <w:lang w:val="es-ES"/>
        </w:rPr>
        <w:t>PRIMERO. -</w:t>
      </w:r>
      <w:r w:rsidRPr="00AF0C2B">
        <w:rPr>
          <w:rFonts w:ascii="Century Gothic" w:eastAsia="Malgun Gothic" w:hAnsi="Century Gothic" w:cs="Arial"/>
          <w:b/>
          <w:sz w:val="24"/>
          <w:szCs w:val="24"/>
          <w:lang w:val="es-ES"/>
        </w:rPr>
        <w:t xml:space="preserve"> </w:t>
      </w:r>
      <w:r w:rsidR="00AF0C2B">
        <w:rPr>
          <w:rFonts w:ascii="Century Gothic" w:eastAsia="Malgun Gothic" w:hAnsi="Century Gothic" w:cs="Arial"/>
          <w:sz w:val="24"/>
          <w:szCs w:val="24"/>
          <w:lang w:val="es-ES"/>
        </w:rPr>
        <w:t xml:space="preserve">Se declara el </w:t>
      </w:r>
      <w:r w:rsidR="00860878">
        <w:rPr>
          <w:rFonts w:ascii="Century Gothic" w:eastAsia="Malgun Gothic" w:hAnsi="Century Gothic" w:cs="Arial"/>
          <w:sz w:val="24"/>
          <w:szCs w:val="24"/>
          <w:lang w:val="es-ES"/>
        </w:rPr>
        <w:t>3</w:t>
      </w:r>
      <w:r w:rsidR="00864217" w:rsidRPr="00AF0C2B">
        <w:rPr>
          <w:rFonts w:ascii="Century Gothic" w:eastAsia="Malgun Gothic" w:hAnsi="Century Gothic" w:cs="Arial"/>
          <w:sz w:val="24"/>
          <w:szCs w:val="24"/>
          <w:lang w:val="es-ES"/>
        </w:rPr>
        <w:t xml:space="preserve"> d</w:t>
      </w:r>
      <w:r w:rsidRPr="00AF0C2B">
        <w:rPr>
          <w:rFonts w:ascii="Century Gothic" w:eastAsia="Malgun Gothic" w:hAnsi="Century Gothic" w:cs="Arial"/>
          <w:sz w:val="24"/>
          <w:szCs w:val="24"/>
          <w:lang w:val="es-ES"/>
        </w:rPr>
        <w:t>e marzo como “EL DÍA ESTATAL DE LOS DERECHOS HUMANOS”.</w:t>
      </w:r>
    </w:p>
    <w:p w14:paraId="6FDB5B7C" w14:textId="6835E81A" w:rsidR="00242635" w:rsidRPr="00AF0C2B" w:rsidRDefault="00242635" w:rsidP="00AF0C2B">
      <w:pPr>
        <w:spacing w:line="360" w:lineRule="auto"/>
        <w:jc w:val="both"/>
        <w:rPr>
          <w:rFonts w:ascii="Century Gothic" w:eastAsia="Malgun Gothic" w:hAnsi="Century Gothic" w:cs="Arial"/>
          <w:sz w:val="24"/>
          <w:szCs w:val="24"/>
          <w:lang w:val="es-ES"/>
        </w:rPr>
      </w:pPr>
      <w:r w:rsidRPr="00AF0C2B">
        <w:rPr>
          <w:rFonts w:ascii="Century Gothic" w:eastAsia="Malgun Gothic" w:hAnsi="Century Gothic" w:cs="Arial"/>
          <w:b/>
          <w:sz w:val="24"/>
          <w:szCs w:val="24"/>
          <w:lang w:val="es-ES"/>
        </w:rPr>
        <w:t xml:space="preserve">ARTÍCULO SEGUNDO.- </w:t>
      </w:r>
      <w:r w:rsidR="00DE5E19" w:rsidRPr="00AF0C2B">
        <w:rPr>
          <w:rFonts w:ascii="Century Gothic" w:eastAsia="Calibri" w:hAnsi="Century Gothic" w:cs="Arial"/>
          <w:sz w:val="24"/>
          <w:szCs w:val="24"/>
          <w:lang w:eastAsia="es-MX"/>
        </w:rPr>
        <w:t>Se acuerda que</w:t>
      </w:r>
      <w:r w:rsidR="00864217" w:rsidRPr="00AF0C2B">
        <w:rPr>
          <w:rFonts w:ascii="Century Gothic" w:eastAsia="Calibri" w:hAnsi="Century Gothic" w:cs="Arial"/>
          <w:sz w:val="24"/>
          <w:szCs w:val="24"/>
          <w:lang w:eastAsia="es-MX"/>
        </w:rPr>
        <w:t xml:space="preserve"> l</w:t>
      </w:r>
      <w:r w:rsidRPr="00AF0C2B">
        <w:rPr>
          <w:rFonts w:ascii="Century Gothic" w:eastAsia="Malgun Gothic" w:hAnsi="Century Gothic" w:cs="Arial"/>
          <w:sz w:val="24"/>
          <w:szCs w:val="24"/>
          <w:lang w:val="es-ES"/>
        </w:rPr>
        <w:t xml:space="preserve">a Comisión de Derechos Humanos del Estado de Yucatán, </w:t>
      </w:r>
      <w:r w:rsidR="00864217" w:rsidRPr="00AF0C2B">
        <w:rPr>
          <w:rFonts w:ascii="Century Gothic" w:eastAsia="Malgun Gothic" w:hAnsi="Century Gothic" w:cs="Arial"/>
          <w:sz w:val="24"/>
          <w:szCs w:val="24"/>
          <w:lang w:val="es-ES"/>
        </w:rPr>
        <w:t xml:space="preserve">durante </w:t>
      </w:r>
      <w:r w:rsidRPr="00AF0C2B">
        <w:rPr>
          <w:rFonts w:ascii="Century Gothic" w:eastAsia="Malgun Gothic" w:hAnsi="Century Gothic" w:cs="Arial"/>
          <w:sz w:val="24"/>
          <w:szCs w:val="24"/>
          <w:lang w:val="es-ES"/>
        </w:rPr>
        <w:t xml:space="preserve">el mes de marzo de cada año, </w:t>
      </w:r>
      <w:r w:rsidR="0025106C">
        <w:rPr>
          <w:rFonts w:ascii="Century Gothic" w:eastAsia="Malgun Gothic" w:hAnsi="Century Gothic" w:cs="Arial"/>
          <w:sz w:val="24"/>
          <w:szCs w:val="24"/>
          <w:lang w:val="es-ES"/>
        </w:rPr>
        <w:t>realice</w:t>
      </w:r>
      <w:r w:rsidRPr="00AF0C2B">
        <w:rPr>
          <w:rFonts w:ascii="Century Gothic" w:eastAsia="Malgun Gothic" w:hAnsi="Century Gothic" w:cs="Arial"/>
          <w:sz w:val="24"/>
          <w:szCs w:val="24"/>
          <w:lang w:val="es-ES"/>
        </w:rPr>
        <w:t xml:space="preserve"> </w:t>
      </w:r>
      <w:r w:rsidR="00DE5E19" w:rsidRPr="00AF0C2B">
        <w:rPr>
          <w:rFonts w:ascii="Century Gothic" w:eastAsia="Malgun Gothic" w:hAnsi="Century Gothic" w:cs="Arial"/>
          <w:sz w:val="24"/>
          <w:szCs w:val="24"/>
          <w:lang w:val="es-ES"/>
        </w:rPr>
        <w:t>actividades encaminadas a</w:t>
      </w:r>
      <w:r w:rsidRPr="00AF0C2B">
        <w:rPr>
          <w:rFonts w:ascii="Century Gothic" w:eastAsia="Malgun Gothic" w:hAnsi="Century Gothic" w:cs="Arial"/>
          <w:sz w:val="24"/>
          <w:szCs w:val="24"/>
          <w:lang w:val="es-ES"/>
        </w:rPr>
        <w:t xml:space="preserve"> promover los valores e ideales </w:t>
      </w:r>
      <w:r w:rsidR="0019514D" w:rsidRPr="00AF0C2B">
        <w:rPr>
          <w:rFonts w:ascii="Century Gothic" w:eastAsia="Malgun Gothic" w:hAnsi="Century Gothic" w:cs="Arial"/>
          <w:sz w:val="24"/>
          <w:szCs w:val="24"/>
          <w:lang w:val="es-ES"/>
        </w:rPr>
        <w:t xml:space="preserve">de </w:t>
      </w:r>
      <w:r w:rsidRPr="00AF0C2B">
        <w:rPr>
          <w:rFonts w:ascii="Century Gothic" w:eastAsia="Malgun Gothic" w:hAnsi="Century Gothic" w:cs="Arial"/>
          <w:sz w:val="24"/>
          <w:szCs w:val="24"/>
          <w:lang w:val="es-ES"/>
        </w:rPr>
        <w:t xml:space="preserve">los derechos humanos, </w:t>
      </w:r>
      <w:r w:rsidR="0019514D" w:rsidRPr="00AF0C2B">
        <w:rPr>
          <w:rFonts w:ascii="Century Gothic" w:eastAsia="Malgun Gothic" w:hAnsi="Century Gothic" w:cs="Arial"/>
          <w:sz w:val="24"/>
          <w:szCs w:val="24"/>
          <w:lang w:val="es-ES"/>
        </w:rPr>
        <w:t xml:space="preserve"> a fin de dar fomentar su conocimiento, promover su observancia, garantizar su respeto  y procurar su protección en todo momento y bajo cualquier circunstancia, generando </w:t>
      </w:r>
      <w:r w:rsidRPr="00AF0C2B">
        <w:rPr>
          <w:rFonts w:ascii="Century Gothic" w:eastAsia="Malgun Gothic" w:hAnsi="Century Gothic" w:cs="Arial"/>
          <w:sz w:val="24"/>
          <w:szCs w:val="24"/>
          <w:lang w:val="es-ES"/>
        </w:rPr>
        <w:t>conciencia en</w:t>
      </w:r>
      <w:r w:rsidR="0019514D" w:rsidRPr="00AF0C2B">
        <w:rPr>
          <w:rFonts w:ascii="Century Gothic" w:eastAsia="Malgun Gothic" w:hAnsi="Century Gothic" w:cs="Arial"/>
          <w:sz w:val="24"/>
          <w:szCs w:val="24"/>
          <w:lang w:val="es-ES"/>
        </w:rPr>
        <w:t xml:space="preserve"> cada persona servidora pública y sociedad en general, del valor supremo de la dignidad humana</w:t>
      </w:r>
      <w:r w:rsidRPr="00AF0C2B">
        <w:rPr>
          <w:rFonts w:ascii="Century Gothic" w:eastAsia="Malgun Gothic" w:hAnsi="Century Gothic" w:cs="Arial"/>
          <w:sz w:val="24"/>
          <w:szCs w:val="24"/>
          <w:lang w:val="es-ES"/>
        </w:rPr>
        <w:t>.</w:t>
      </w:r>
    </w:p>
    <w:p w14:paraId="4D5191BE" w14:textId="77777777" w:rsidR="00242635" w:rsidRPr="00AF0C2B" w:rsidRDefault="00AF0C2B" w:rsidP="00AF0C2B">
      <w:pPr>
        <w:spacing w:line="360" w:lineRule="auto"/>
        <w:jc w:val="center"/>
        <w:rPr>
          <w:rFonts w:ascii="Century Gothic" w:eastAsia="Malgun Gothic" w:hAnsi="Century Gothic" w:cs="Arial"/>
          <w:b/>
          <w:sz w:val="24"/>
          <w:szCs w:val="24"/>
          <w:lang w:val="es-ES"/>
        </w:rPr>
      </w:pPr>
      <w:r>
        <w:rPr>
          <w:rFonts w:ascii="Century Gothic" w:eastAsia="Malgun Gothic" w:hAnsi="Century Gothic" w:cs="Arial"/>
          <w:b/>
          <w:sz w:val="24"/>
          <w:szCs w:val="24"/>
          <w:lang w:val="es-ES"/>
        </w:rPr>
        <w:t xml:space="preserve">ARTÍCULO </w:t>
      </w:r>
      <w:r w:rsidR="00242635" w:rsidRPr="00AF0C2B">
        <w:rPr>
          <w:rFonts w:ascii="Century Gothic" w:eastAsia="Malgun Gothic" w:hAnsi="Century Gothic" w:cs="Arial"/>
          <w:b/>
          <w:sz w:val="24"/>
          <w:szCs w:val="24"/>
          <w:lang w:val="es-ES"/>
        </w:rPr>
        <w:t>TRANSITORIO</w:t>
      </w:r>
    </w:p>
    <w:p w14:paraId="4D50FCDD" w14:textId="77777777" w:rsidR="00242635" w:rsidRPr="00AF0C2B" w:rsidRDefault="00242635" w:rsidP="00AF0C2B">
      <w:pPr>
        <w:spacing w:line="360" w:lineRule="auto"/>
        <w:jc w:val="both"/>
        <w:rPr>
          <w:rFonts w:ascii="Century Gothic" w:eastAsia="Malgun Gothic" w:hAnsi="Century Gothic" w:cs="Arial"/>
          <w:sz w:val="24"/>
          <w:szCs w:val="24"/>
          <w:lang w:val="es-ES"/>
        </w:rPr>
      </w:pPr>
      <w:r w:rsidRPr="00AF0C2B">
        <w:rPr>
          <w:rFonts w:ascii="Century Gothic" w:eastAsia="Malgun Gothic" w:hAnsi="Century Gothic" w:cs="Arial"/>
          <w:b/>
          <w:sz w:val="24"/>
          <w:szCs w:val="24"/>
          <w:lang w:val="es-ES"/>
        </w:rPr>
        <w:t xml:space="preserve">ARTÍCULO ÚNICO.- </w:t>
      </w:r>
      <w:r w:rsidRPr="00AF0C2B">
        <w:rPr>
          <w:rFonts w:ascii="Century Gothic" w:eastAsia="Malgun Gothic" w:hAnsi="Century Gothic" w:cs="Arial"/>
          <w:sz w:val="24"/>
          <w:szCs w:val="24"/>
          <w:lang w:val="es-ES"/>
        </w:rPr>
        <w:t>El presente decreto entrará en vigor al día siguiente de su publicación en el Diario Oficial del Gobierno del Estado de Yucatán.</w:t>
      </w:r>
    </w:p>
    <w:p w14:paraId="37019822" w14:textId="5C029C73" w:rsidR="00AF0C2B" w:rsidRPr="00AF0C2B" w:rsidRDefault="00AF0C2B" w:rsidP="00AF0C2B">
      <w:pPr>
        <w:pBdr>
          <w:top w:val="nil"/>
          <w:left w:val="nil"/>
          <w:bottom w:val="nil"/>
          <w:right w:val="nil"/>
          <w:between w:val="nil"/>
        </w:pBdr>
        <w:shd w:val="clear" w:color="auto" w:fill="FFFFFF"/>
        <w:spacing w:after="0" w:line="360" w:lineRule="auto"/>
        <w:ind w:right="566" w:firstLine="708"/>
        <w:jc w:val="both"/>
        <w:rPr>
          <w:rFonts w:ascii="Century Gothic" w:eastAsia="Malgun Gothic" w:hAnsi="Century Gothic" w:cs="Arial"/>
          <w:sz w:val="24"/>
          <w:szCs w:val="24"/>
          <w:lang w:val="es-ES"/>
        </w:rPr>
      </w:pPr>
      <w:r>
        <w:rPr>
          <w:rFonts w:ascii="Century Gothic" w:eastAsia="Malgun Gothic" w:hAnsi="Century Gothic" w:cs="Arial"/>
          <w:sz w:val="24"/>
          <w:szCs w:val="24"/>
          <w:lang w:val="es-ES"/>
        </w:rPr>
        <w:t>Protestamos</w:t>
      </w:r>
      <w:r w:rsidRPr="00AF0C2B">
        <w:rPr>
          <w:rFonts w:ascii="Century Gothic" w:eastAsia="Malgun Gothic" w:hAnsi="Century Gothic" w:cs="Arial"/>
          <w:sz w:val="24"/>
          <w:szCs w:val="24"/>
          <w:lang w:val="es-ES"/>
        </w:rPr>
        <w:t xml:space="preserve"> lo necesario, en la c</w:t>
      </w:r>
      <w:r w:rsidR="0088083C">
        <w:rPr>
          <w:rFonts w:ascii="Century Gothic" w:eastAsia="Malgun Gothic" w:hAnsi="Century Gothic" w:cs="Arial"/>
          <w:sz w:val="24"/>
          <w:szCs w:val="24"/>
          <w:lang w:val="es-ES"/>
        </w:rPr>
        <w:t xml:space="preserve">iudad de Mérida, Yucatán a los ocho </w:t>
      </w:r>
      <w:r w:rsidRPr="00AF0C2B">
        <w:rPr>
          <w:rFonts w:ascii="Century Gothic" w:eastAsia="Malgun Gothic" w:hAnsi="Century Gothic" w:cs="Arial"/>
          <w:sz w:val="24"/>
          <w:szCs w:val="24"/>
          <w:lang w:val="es-ES"/>
        </w:rPr>
        <w:t>días</w:t>
      </w:r>
      <w:r>
        <w:rPr>
          <w:rFonts w:ascii="Century Gothic" w:eastAsia="Calibri" w:hAnsi="Century Gothic" w:cs="Arial"/>
          <w:lang w:eastAsia="es-MX"/>
        </w:rPr>
        <w:t xml:space="preserve"> </w:t>
      </w:r>
      <w:r w:rsidRPr="00B241E6">
        <w:rPr>
          <w:rFonts w:ascii="Century Gothic" w:eastAsia="Calibri" w:hAnsi="Century Gothic" w:cs="Arial"/>
          <w:lang w:eastAsia="es-MX"/>
        </w:rPr>
        <w:t xml:space="preserve"> </w:t>
      </w:r>
      <w:r w:rsidRPr="00AF0C2B">
        <w:rPr>
          <w:rFonts w:ascii="Century Gothic" w:eastAsia="Malgun Gothic" w:hAnsi="Century Gothic" w:cs="Arial"/>
          <w:sz w:val="24"/>
          <w:szCs w:val="24"/>
          <w:lang w:val="es-ES"/>
        </w:rPr>
        <w:t>del mes de febrero del año 2023.</w:t>
      </w:r>
    </w:p>
    <w:p w14:paraId="53360EC4" w14:textId="77777777" w:rsidR="00AF0C2B" w:rsidRDefault="00AF0C2B" w:rsidP="00AF0C2B">
      <w:pPr>
        <w:pBdr>
          <w:top w:val="nil"/>
          <w:left w:val="nil"/>
          <w:bottom w:val="nil"/>
          <w:right w:val="nil"/>
          <w:between w:val="nil"/>
        </w:pBdr>
        <w:shd w:val="clear" w:color="auto" w:fill="FFFFFF"/>
        <w:spacing w:after="0" w:line="240" w:lineRule="auto"/>
        <w:ind w:right="566"/>
        <w:jc w:val="center"/>
        <w:rPr>
          <w:rFonts w:ascii="Century Gothic" w:eastAsia="Malgun Gothic" w:hAnsi="Century Gothic" w:cs="Arial"/>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083C" w14:paraId="32B7390D" w14:textId="77777777" w:rsidTr="0065056F">
        <w:trPr>
          <w:jc w:val="center"/>
        </w:trPr>
        <w:tc>
          <w:tcPr>
            <w:tcW w:w="4414" w:type="dxa"/>
          </w:tcPr>
          <w:p w14:paraId="5706B78E"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37BCB800"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5DEBA3AD"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33F30F39" w14:textId="77777777" w:rsidR="0088083C"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DIP. VÍCTOR HUGO LOZANO POVEDA</w:t>
            </w:r>
          </w:p>
        </w:tc>
        <w:tc>
          <w:tcPr>
            <w:tcW w:w="4414" w:type="dxa"/>
          </w:tcPr>
          <w:p w14:paraId="0E9BBC5A"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795767B"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BEEFF7D"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3F6EE8D0" w14:textId="1CE63D85" w:rsidR="0088083C" w:rsidRDefault="0088083C" w:rsidP="0065056F">
            <w:pPr>
              <w:spacing w:line="360" w:lineRule="auto"/>
              <w:jc w:val="center"/>
              <w:rPr>
                <w:rFonts w:ascii="Century Gothic" w:eastAsia="Calibri" w:hAnsi="Century Gothic" w:cs="Arial"/>
                <w:b/>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MANUELA DE JESÚS COCOM BOLIO</w:t>
            </w:r>
          </w:p>
          <w:p w14:paraId="6ACC17BA" w14:textId="37D7CBA0" w:rsidR="0088083C" w:rsidRDefault="0088083C" w:rsidP="0065056F">
            <w:pPr>
              <w:spacing w:line="360" w:lineRule="auto"/>
              <w:jc w:val="center"/>
              <w:rPr>
                <w:rFonts w:ascii="Century Gothic" w:eastAsia="Calibri" w:hAnsi="Century Gothic" w:cs="Arial"/>
                <w:b/>
                <w:sz w:val="24"/>
                <w:szCs w:val="24"/>
                <w:lang w:eastAsia="es-MX"/>
              </w:rPr>
            </w:pPr>
          </w:p>
        </w:tc>
      </w:tr>
      <w:tr w:rsidR="0088083C" w14:paraId="380A88A0" w14:textId="77777777" w:rsidTr="0065056F">
        <w:trPr>
          <w:jc w:val="center"/>
        </w:trPr>
        <w:tc>
          <w:tcPr>
            <w:tcW w:w="4414" w:type="dxa"/>
          </w:tcPr>
          <w:p w14:paraId="3A147294"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3D7C5CDA"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6702DCCD"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73DD9ADB" w14:textId="77777777" w:rsidR="0088083C" w:rsidRPr="00127AC2" w:rsidRDefault="0088083C" w:rsidP="0065056F">
            <w:pPr>
              <w:spacing w:line="360" w:lineRule="auto"/>
              <w:jc w:val="center"/>
              <w:rPr>
                <w:rFonts w:ascii="Century Gothic" w:eastAsia="Calibri" w:hAnsi="Century Gothic" w:cs="Arial"/>
                <w:b/>
                <w:sz w:val="24"/>
                <w:szCs w:val="24"/>
                <w:lang w:val="en-US" w:eastAsia="es-MX"/>
              </w:rPr>
            </w:pPr>
            <w:r w:rsidRPr="00127AC2">
              <w:rPr>
                <w:rFonts w:ascii="Century Gothic" w:eastAsia="Calibri" w:hAnsi="Century Gothic" w:cs="Arial"/>
                <w:b/>
                <w:lang w:val="en-US" w:eastAsia="es-MX"/>
              </w:rPr>
              <w:t xml:space="preserve">DIP. KAREM FARIDE ACHACH </w:t>
            </w:r>
            <w:r>
              <w:rPr>
                <w:rFonts w:ascii="Century Gothic" w:eastAsia="Calibri" w:hAnsi="Century Gothic" w:cs="Arial"/>
                <w:b/>
                <w:lang w:val="en-US" w:eastAsia="es-MX"/>
              </w:rPr>
              <w:t>RAMÍREZ</w:t>
            </w:r>
          </w:p>
        </w:tc>
        <w:tc>
          <w:tcPr>
            <w:tcW w:w="4414" w:type="dxa"/>
          </w:tcPr>
          <w:p w14:paraId="178AC377" w14:textId="77777777" w:rsidR="0088083C" w:rsidRPr="00127AC2" w:rsidRDefault="0088083C" w:rsidP="0065056F">
            <w:pPr>
              <w:pBdr>
                <w:bottom w:val="single" w:sz="12" w:space="1" w:color="auto"/>
              </w:pBdr>
              <w:spacing w:line="360" w:lineRule="auto"/>
              <w:jc w:val="center"/>
              <w:rPr>
                <w:rFonts w:ascii="Century Gothic" w:eastAsia="Calibri" w:hAnsi="Century Gothic" w:cs="Arial"/>
                <w:b/>
                <w:sz w:val="24"/>
                <w:szCs w:val="24"/>
                <w:lang w:val="en-US" w:eastAsia="es-MX"/>
              </w:rPr>
            </w:pPr>
          </w:p>
          <w:p w14:paraId="4179621B" w14:textId="77777777" w:rsidR="0088083C" w:rsidRPr="00127AC2" w:rsidRDefault="0088083C" w:rsidP="0065056F">
            <w:pPr>
              <w:pBdr>
                <w:bottom w:val="single" w:sz="12" w:space="1" w:color="auto"/>
              </w:pBdr>
              <w:spacing w:line="360" w:lineRule="auto"/>
              <w:jc w:val="center"/>
              <w:rPr>
                <w:rFonts w:ascii="Century Gothic" w:eastAsia="Calibri" w:hAnsi="Century Gothic" w:cs="Arial"/>
                <w:b/>
                <w:sz w:val="24"/>
                <w:szCs w:val="24"/>
                <w:lang w:val="en-US" w:eastAsia="es-MX"/>
              </w:rPr>
            </w:pPr>
          </w:p>
          <w:p w14:paraId="68B57049" w14:textId="77777777" w:rsidR="0088083C" w:rsidRPr="00127AC2" w:rsidRDefault="0088083C" w:rsidP="0065056F">
            <w:pPr>
              <w:pBdr>
                <w:bottom w:val="single" w:sz="12" w:space="1" w:color="auto"/>
              </w:pBdr>
              <w:spacing w:line="360" w:lineRule="auto"/>
              <w:jc w:val="center"/>
              <w:rPr>
                <w:rFonts w:ascii="Century Gothic" w:eastAsia="Calibri" w:hAnsi="Century Gothic" w:cs="Arial"/>
                <w:b/>
                <w:sz w:val="24"/>
                <w:szCs w:val="24"/>
                <w:lang w:val="en-US" w:eastAsia="es-MX"/>
              </w:rPr>
            </w:pPr>
          </w:p>
          <w:p w14:paraId="13A18F7E" w14:textId="77777777" w:rsidR="0088083C"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JESÚS EFRÉN PÉREZ BALLOTE</w:t>
            </w:r>
          </w:p>
        </w:tc>
      </w:tr>
      <w:tr w:rsidR="0088083C" w14:paraId="4A33DA4D" w14:textId="77777777" w:rsidTr="0065056F">
        <w:trPr>
          <w:jc w:val="center"/>
        </w:trPr>
        <w:tc>
          <w:tcPr>
            <w:tcW w:w="4414" w:type="dxa"/>
          </w:tcPr>
          <w:p w14:paraId="07283047"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2BD0D894"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61175DE"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66E37FCA" w14:textId="77777777" w:rsidR="0088083C"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KARLA VANESSA SALAZAR GONZÁLEZ</w:t>
            </w:r>
          </w:p>
        </w:tc>
        <w:tc>
          <w:tcPr>
            <w:tcW w:w="4414" w:type="dxa"/>
          </w:tcPr>
          <w:p w14:paraId="40AA66CA"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64361744"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A277B46"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27B0F1AA" w14:textId="6CAB968F" w:rsidR="0088083C"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INGRID DEL PILAR SANTOS DÍAZ</w:t>
            </w:r>
          </w:p>
        </w:tc>
      </w:tr>
      <w:tr w:rsidR="0088083C" w:rsidRPr="00A97FCD" w14:paraId="1D01BF73" w14:textId="77777777" w:rsidTr="0065056F">
        <w:trPr>
          <w:jc w:val="center"/>
        </w:trPr>
        <w:tc>
          <w:tcPr>
            <w:tcW w:w="4414" w:type="dxa"/>
          </w:tcPr>
          <w:p w14:paraId="424AAA1E"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456D1B30"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5B8D58F"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1EE58F9D" w14:textId="77777777" w:rsidR="0088083C"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DAFNE CELINA LÓPEZ OSORIO</w:t>
            </w:r>
          </w:p>
        </w:tc>
        <w:tc>
          <w:tcPr>
            <w:tcW w:w="4414" w:type="dxa"/>
          </w:tcPr>
          <w:p w14:paraId="67C34A82"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4A0E3A36"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1EDC136B"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7BE1B5A0"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A97FCD">
              <w:rPr>
                <w:rFonts w:ascii="Century Gothic" w:eastAsia="Calibri" w:hAnsi="Century Gothic" w:cs="Arial"/>
                <w:b/>
                <w:lang w:eastAsia="es-MX"/>
              </w:rPr>
              <w:t>DIP. ERIK JOSÉ RIHANI GONZÁLEZ</w:t>
            </w:r>
          </w:p>
        </w:tc>
      </w:tr>
      <w:tr w:rsidR="0088083C" w:rsidRPr="00A97FCD" w14:paraId="4C25A96A" w14:textId="77777777" w:rsidTr="0065056F">
        <w:trPr>
          <w:jc w:val="center"/>
        </w:trPr>
        <w:tc>
          <w:tcPr>
            <w:tcW w:w="4414" w:type="dxa"/>
          </w:tcPr>
          <w:p w14:paraId="671A7039"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7C50258D"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29BD932D"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68C3F00D"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ESTEBAN ABRAHAM MACARÍ</w:t>
            </w:r>
          </w:p>
        </w:tc>
        <w:tc>
          <w:tcPr>
            <w:tcW w:w="4414" w:type="dxa"/>
          </w:tcPr>
          <w:p w14:paraId="3FDD003C"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1C5ECBA6" w14:textId="77777777" w:rsidR="0088083C" w:rsidRDefault="0088083C" w:rsidP="0065056F">
            <w:pPr>
              <w:pBdr>
                <w:bottom w:val="single" w:sz="12" w:space="1" w:color="auto"/>
              </w:pBdr>
              <w:spacing w:line="360" w:lineRule="auto"/>
              <w:rPr>
                <w:rFonts w:ascii="Century Gothic" w:eastAsia="Calibri" w:hAnsi="Century Gothic" w:cs="Arial"/>
                <w:b/>
                <w:sz w:val="24"/>
                <w:szCs w:val="24"/>
                <w:lang w:eastAsia="es-MX"/>
              </w:rPr>
            </w:pPr>
          </w:p>
          <w:p w14:paraId="7BB76E93" w14:textId="77777777" w:rsidR="0088083C" w:rsidRDefault="0088083C" w:rsidP="0065056F">
            <w:pPr>
              <w:pBdr>
                <w:bottom w:val="single" w:sz="12" w:space="1" w:color="auto"/>
              </w:pBdr>
              <w:spacing w:line="360" w:lineRule="auto"/>
              <w:rPr>
                <w:rFonts w:ascii="Century Gothic" w:eastAsia="Calibri" w:hAnsi="Century Gothic" w:cs="Arial"/>
                <w:b/>
                <w:sz w:val="24"/>
                <w:szCs w:val="24"/>
                <w:lang w:eastAsia="es-MX"/>
              </w:rPr>
            </w:pPr>
          </w:p>
          <w:p w14:paraId="471A0459"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LUIS RENÉ FERNÁNDEZ VIDAL</w:t>
            </w:r>
          </w:p>
        </w:tc>
      </w:tr>
      <w:tr w:rsidR="0088083C" w:rsidRPr="00A97FCD" w14:paraId="76C805E3" w14:textId="77777777" w:rsidTr="0065056F">
        <w:trPr>
          <w:jc w:val="center"/>
        </w:trPr>
        <w:tc>
          <w:tcPr>
            <w:tcW w:w="4414" w:type="dxa"/>
          </w:tcPr>
          <w:p w14:paraId="5BE1349A" w14:textId="77777777" w:rsidR="0088083C" w:rsidRDefault="0088083C" w:rsidP="0065056F">
            <w:pPr>
              <w:pBdr>
                <w:bottom w:val="single" w:sz="12" w:space="1" w:color="auto"/>
              </w:pBdr>
              <w:spacing w:line="360" w:lineRule="auto"/>
              <w:rPr>
                <w:rFonts w:ascii="Century Gothic" w:eastAsia="Calibri" w:hAnsi="Century Gothic" w:cs="Arial"/>
                <w:b/>
                <w:sz w:val="24"/>
                <w:szCs w:val="24"/>
                <w:lang w:eastAsia="es-MX"/>
              </w:rPr>
            </w:pPr>
          </w:p>
          <w:p w14:paraId="69ABE3C4"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24DBEA8"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6B38C6EF"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7B97EE72"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lastRenderedPageBreak/>
              <w:t xml:space="preserve">DIP. </w:t>
            </w:r>
            <w:r>
              <w:rPr>
                <w:rFonts w:ascii="Century Gothic" w:eastAsia="Calibri" w:hAnsi="Century Gothic" w:cs="Arial"/>
                <w:b/>
                <w:lang w:eastAsia="es-MX"/>
              </w:rPr>
              <w:t>RAÚL ANTONIO ROMERO CHEL</w:t>
            </w:r>
          </w:p>
        </w:tc>
        <w:tc>
          <w:tcPr>
            <w:tcW w:w="4414" w:type="dxa"/>
          </w:tcPr>
          <w:p w14:paraId="0EA38D32"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336C726F"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626ED9CC"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7C34B2E3"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51A66045"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lastRenderedPageBreak/>
              <w:t xml:space="preserve">DIP. </w:t>
            </w:r>
            <w:r>
              <w:rPr>
                <w:rFonts w:ascii="Century Gothic" w:eastAsia="Calibri" w:hAnsi="Century Gothic" w:cs="Arial"/>
                <w:b/>
                <w:lang w:eastAsia="es-MX"/>
              </w:rPr>
              <w:t>CARMEN GUADALUPE GONZÁLEZ MARTÍN</w:t>
            </w:r>
          </w:p>
        </w:tc>
      </w:tr>
      <w:tr w:rsidR="0088083C" w:rsidRPr="00A97FCD" w14:paraId="2697F705" w14:textId="77777777" w:rsidTr="0065056F">
        <w:trPr>
          <w:jc w:val="center"/>
        </w:trPr>
        <w:tc>
          <w:tcPr>
            <w:tcW w:w="4414" w:type="dxa"/>
          </w:tcPr>
          <w:p w14:paraId="7296D8F6"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200E4D2E" w14:textId="77777777" w:rsidR="0088083C" w:rsidRDefault="0088083C" w:rsidP="0065056F">
            <w:pPr>
              <w:pBdr>
                <w:bottom w:val="single" w:sz="12" w:space="1" w:color="auto"/>
              </w:pBdr>
              <w:spacing w:line="360" w:lineRule="auto"/>
              <w:rPr>
                <w:rFonts w:ascii="Century Gothic" w:eastAsia="Calibri" w:hAnsi="Century Gothic" w:cs="Arial"/>
                <w:b/>
                <w:sz w:val="24"/>
                <w:szCs w:val="24"/>
                <w:lang w:eastAsia="es-MX"/>
              </w:rPr>
            </w:pPr>
          </w:p>
          <w:p w14:paraId="5FB3A245"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MELBA ROSANA GAMBOA ÁVILA</w:t>
            </w:r>
          </w:p>
        </w:tc>
        <w:tc>
          <w:tcPr>
            <w:tcW w:w="4414" w:type="dxa"/>
          </w:tcPr>
          <w:p w14:paraId="096512A0"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05884AA3" w14:textId="77777777" w:rsidR="0088083C" w:rsidRDefault="0088083C" w:rsidP="0065056F">
            <w:pPr>
              <w:pBdr>
                <w:bottom w:val="single" w:sz="12" w:space="1" w:color="auto"/>
              </w:pBdr>
              <w:spacing w:line="360" w:lineRule="auto"/>
              <w:jc w:val="center"/>
              <w:rPr>
                <w:rFonts w:ascii="Century Gothic" w:eastAsia="Calibri" w:hAnsi="Century Gothic" w:cs="Arial"/>
                <w:b/>
                <w:sz w:val="24"/>
                <w:szCs w:val="24"/>
                <w:lang w:eastAsia="es-MX"/>
              </w:rPr>
            </w:pPr>
          </w:p>
          <w:p w14:paraId="58A3FFC4" w14:textId="77777777" w:rsidR="0088083C" w:rsidRPr="00A97FCD" w:rsidRDefault="0088083C" w:rsidP="0065056F">
            <w:pPr>
              <w:spacing w:line="360" w:lineRule="auto"/>
              <w:jc w:val="center"/>
              <w:rPr>
                <w:rFonts w:ascii="Century Gothic" w:eastAsia="Calibri" w:hAnsi="Century Gothic" w:cs="Arial"/>
                <w:b/>
                <w:sz w:val="24"/>
                <w:szCs w:val="24"/>
                <w:lang w:eastAsia="es-MX"/>
              </w:rPr>
            </w:pPr>
            <w:r w:rsidRPr="00127AC2">
              <w:rPr>
                <w:rFonts w:ascii="Century Gothic" w:eastAsia="Calibri" w:hAnsi="Century Gothic" w:cs="Arial"/>
                <w:b/>
                <w:lang w:eastAsia="es-MX"/>
              </w:rPr>
              <w:t xml:space="preserve">DIP. </w:t>
            </w:r>
            <w:r>
              <w:rPr>
                <w:rFonts w:ascii="Century Gothic" w:eastAsia="Calibri" w:hAnsi="Century Gothic" w:cs="Arial"/>
                <w:b/>
                <w:lang w:eastAsia="es-MX"/>
              </w:rPr>
              <w:t>ABRIL FERREYRO ROSADO</w:t>
            </w:r>
          </w:p>
        </w:tc>
      </w:tr>
    </w:tbl>
    <w:p w14:paraId="2ABC1248" w14:textId="77777777" w:rsidR="00242635" w:rsidRDefault="00242635" w:rsidP="00AF0C2B">
      <w:pPr>
        <w:spacing w:line="360" w:lineRule="auto"/>
        <w:jc w:val="center"/>
        <w:rPr>
          <w:rFonts w:ascii="Century Gothic" w:eastAsia="Malgun Gothic" w:hAnsi="Century Gothic" w:cs="Arial"/>
          <w:sz w:val="24"/>
          <w:szCs w:val="24"/>
          <w:lang w:val="es-ES"/>
        </w:rPr>
      </w:pPr>
    </w:p>
    <w:p w14:paraId="1735F7A7" w14:textId="77777777" w:rsidR="0088083C" w:rsidRDefault="0088083C" w:rsidP="00AF0C2B">
      <w:pPr>
        <w:spacing w:line="360" w:lineRule="auto"/>
        <w:jc w:val="center"/>
        <w:rPr>
          <w:rFonts w:ascii="Century Gothic" w:eastAsia="Malgun Gothic" w:hAnsi="Century Gothic" w:cs="Arial"/>
          <w:sz w:val="24"/>
          <w:szCs w:val="24"/>
          <w:lang w:val="es-ES"/>
        </w:rPr>
      </w:pPr>
    </w:p>
    <w:p w14:paraId="0C6A84BB" w14:textId="77777777" w:rsidR="0088083C" w:rsidRDefault="0088083C" w:rsidP="00AF0C2B">
      <w:pPr>
        <w:spacing w:line="360" w:lineRule="auto"/>
        <w:jc w:val="center"/>
        <w:rPr>
          <w:rFonts w:ascii="Century Gothic" w:eastAsia="Malgun Gothic" w:hAnsi="Century Gothic" w:cs="Arial"/>
          <w:sz w:val="24"/>
          <w:szCs w:val="24"/>
          <w:lang w:val="es-ES"/>
        </w:rPr>
      </w:pPr>
    </w:p>
    <w:p w14:paraId="6D72C336" w14:textId="77777777" w:rsidR="0088083C" w:rsidRDefault="0088083C" w:rsidP="00AF0C2B">
      <w:pPr>
        <w:spacing w:line="360" w:lineRule="auto"/>
        <w:jc w:val="center"/>
        <w:rPr>
          <w:rFonts w:ascii="Century Gothic" w:eastAsia="Malgun Gothic" w:hAnsi="Century Gothic" w:cs="Arial"/>
          <w:sz w:val="24"/>
          <w:szCs w:val="24"/>
          <w:lang w:val="es-ES"/>
        </w:rPr>
      </w:pPr>
    </w:p>
    <w:p w14:paraId="66B7E12E" w14:textId="77777777" w:rsidR="0088083C" w:rsidRDefault="0088083C" w:rsidP="00AF0C2B">
      <w:pPr>
        <w:spacing w:line="360" w:lineRule="auto"/>
        <w:jc w:val="center"/>
        <w:rPr>
          <w:rFonts w:ascii="Century Gothic" w:eastAsia="Malgun Gothic" w:hAnsi="Century Gothic" w:cs="Arial"/>
          <w:sz w:val="24"/>
          <w:szCs w:val="24"/>
          <w:lang w:val="es-ES"/>
        </w:rPr>
      </w:pPr>
    </w:p>
    <w:p w14:paraId="37469793" w14:textId="77777777" w:rsidR="0088083C" w:rsidRDefault="0088083C" w:rsidP="00AF0C2B">
      <w:pPr>
        <w:spacing w:line="360" w:lineRule="auto"/>
        <w:jc w:val="center"/>
        <w:rPr>
          <w:rFonts w:ascii="Century Gothic" w:eastAsia="Malgun Gothic" w:hAnsi="Century Gothic" w:cs="Arial"/>
          <w:sz w:val="24"/>
          <w:szCs w:val="24"/>
          <w:lang w:val="es-ES"/>
        </w:rPr>
      </w:pPr>
    </w:p>
    <w:p w14:paraId="2A31B187" w14:textId="77777777" w:rsidR="0088083C" w:rsidRDefault="0088083C" w:rsidP="00AF0C2B">
      <w:pPr>
        <w:spacing w:line="360" w:lineRule="auto"/>
        <w:jc w:val="center"/>
        <w:rPr>
          <w:rFonts w:ascii="Century Gothic" w:eastAsia="Malgun Gothic" w:hAnsi="Century Gothic" w:cs="Arial"/>
          <w:sz w:val="24"/>
          <w:szCs w:val="24"/>
          <w:lang w:val="es-ES"/>
        </w:rPr>
      </w:pPr>
    </w:p>
    <w:p w14:paraId="4F745AB0" w14:textId="77777777" w:rsidR="0088083C" w:rsidRDefault="0088083C" w:rsidP="00AF0C2B">
      <w:pPr>
        <w:spacing w:line="360" w:lineRule="auto"/>
        <w:jc w:val="center"/>
        <w:rPr>
          <w:rFonts w:ascii="Century Gothic" w:eastAsia="Malgun Gothic" w:hAnsi="Century Gothic" w:cs="Arial"/>
          <w:sz w:val="24"/>
          <w:szCs w:val="24"/>
          <w:lang w:val="es-ES"/>
        </w:rPr>
      </w:pPr>
    </w:p>
    <w:p w14:paraId="3DC7F930" w14:textId="77777777" w:rsidR="0088083C" w:rsidRDefault="0088083C" w:rsidP="00AF0C2B">
      <w:pPr>
        <w:spacing w:line="360" w:lineRule="auto"/>
        <w:jc w:val="center"/>
        <w:rPr>
          <w:rFonts w:ascii="Century Gothic" w:eastAsia="Malgun Gothic" w:hAnsi="Century Gothic" w:cs="Arial"/>
          <w:sz w:val="24"/>
          <w:szCs w:val="24"/>
          <w:lang w:val="es-ES"/>
        </w:rPr>
      </w:pPr>
    </w:p>
    <w:p w14:paraId="3BAF8BD1" w14:textId="77777777" w:rsidR="0088083C" w:rsidRDefault="0088083C" w:rsidP="00AF0C2B">
      <w:pPr>
        <w:spacing w:line="360" w:lineRule="auto"/>
        <w:jc w:val="center"/>
        <w:rPr>
          <w:rFonts w:ascii="Century Gothic" w:eastAsia="Malgun Gothic" w:hAnsi="Century Gothic" w:cs="Arial"/>
          <w:sz w:val="24"/>
          <w:szCs w:val="24"/>
          <w:lang w:val="es-ES"/>
        </w:rPr>
      </w:pPr>
    </w:p>
    <w:p w14:paraId="5893A18C" w14:textId="77777777" w:rsidR="0088083C" w:rsidRDefault="0088083C" w:rsidP="00AF0C2B">
      <w:pPr>
        <w:spacing w:line="360" w:lineRule="auto"/>
        <w:jc w:val="center"/>
        <w:rPr>
          <w:rFonts w:ascii="Century Gothic" w:eastAsia="Malgun Gothic" w:hAnsi="Century Gothic" w:cs="Arial"/>
          <w:sz w:val="24"/>
          <w:szCs w:val="24"/>
          <w:lang w:val="es-ES"/>
        </w:rPr>
      </w:pPr>
    </w:p>
    <w:p w14:paraId="32A962C8" w14:textId="77777777" w:rsidR="0088083C" w:rsidRDefault="0088083C" w:rsidP="00AF0C2B">
      <w:pPr>
        <w:spacing w:line="360" w:lineRule="auto"/>
        <w:jc w:val="center"/>
        <w:rPr>
          <w:rFonts w:ascii="Century Gothic" w:eastAsia="Malgun Gothic" w:hAnsi="Century Gothic" w:cs="Arial"/>
          <w:sz w:val="24"/>
          <w:szCs w:val="24"/>
          <w:lang w:val="es-ES"/>
        </w:rPr>
      </w:pPr>
    </w:p>
    <w:p w14:paraId="273F7437" w14:textId="77777777" w:rsidR="0088083C" w:rsidRDefault="0088083C" w:rsidP="00AF0C2B">
      <w:pPr>
        <w:spacing w:line="360" w:lineRule="auto"/>
        <w:jc w:val="center"/>
        <w:rPr>
          <w:rFonts w:ascii="Century Gothic" w:eastAsia="Malgun Gothic" w:hAnsi="Century Gothic" w:cs="Arial"/>
          <w:sz w:val="24"/>
          <w:szCs w:val="24"/>
          <w:lang w:val="es-ES"/>
        </w:rPr>
      </w:pPr>
    </w:p>
    <w:p w14:paraId="5B8ED6F7" w14:textId="77777777" w:rsidR="0088083C" w:rsidRDefault="0088083C" w:rsidP="00AF0C2B">
      <w:pPr>
        <w:spacing w:line="360" w:lineRule="auto"/>
        <w:jc w:val="center"/>
        <w:rPr>
          <w:rFonts w:ascii="Century Gothic" w:eastAsia="Malgun Gothic" w:hAnsi="Century Gothic" w:cs="Arial"/>
          <w:sz w:val="24"/>
          <w:szCs w:val="24"/>
          <w:lang w:val="es-ES"/>
        </w:rPr>
      </w:pPr>
    </w:p>
    <w:p w14:paraId="66BF5BFE" w14:textId="11D9A264" w:rsidR="00274E28" w:rsidRPr="0088083C" w:rsidRDefault="00A43C6B" w:rsidP="0088083C">
      <w:pPr>
        <w:tabs>
          <w:tab w:val="left" w:pos="5430"/>
        </w:tabs>
        <w:spacing w:after="0" w:line="240" w:lineRule="auto"/>
        <w:ind w:right="566"/>
        <w:rPr>
          <w:rFonts w:ascii="Century Gothic" w:eastAsia="Calibri" w:hAnsi="Century Gothic" w:cs="Arial"/>
          <w:b/>
          <w:lang w:eastAsia="es-MX"/>
        </w:rPr>
      </w:pPr>
      <w:proofErr w:type="spellStart"/>
      <w:r w:rsidRPr="00770127">
        <w:rPr>
          <w:rFonts w:ascii="Century Gothic" w:eastAsia="Calibri" w:hAnsi="Century Gothic" w:cs="Arial"/>
          <w:sz w:val="18"/>
          <w:lang w:eastAsia="es-MX"/>
        </w:rPr>
        <w:t>C.c.p</w:t>
      </w:r>
      <w:proofErr w:type="spellEnd"/>
      <w:r w:rsidRPr="00770127">
        <w:rPr>
          <w:rFonts w:ascii="Century Gothic" w:eastAsia="Calibri" w:hAnsi="Century Gothic" w:cs="Arial"/>
          <w:sz w:val="18"/>
          <w:lang w:eastAsia="es-MX"/>
        </w:rPr>
        <w:t xml:space="preserve">. </w:t>
      </w:r>
      <w:r w:rsidRPr="00770127">
        <w:rPr>
          <w:rFonts w:ascii="Century Gothic" w:eastAsia="Times New Roman" w:hAnsi="Century Gothic" w:cs="Arial"/>
          <w:bCs/>
          <w:color w:val="000000"/>
          <w:sz w:val="18"/>
          <w:bdr w:val="none" w:sz="0" w:space="0" w:color="auto" w:frame="1"/>
          <w:lang w:eastAsia="es-MX"/>
        </w:rPr>
        <w:t>Lic. Adrián Abelardo Anguiano Aguilar</w:t>
      </w:r>
      <w:r w:rsidRPr="00770127">
        <w:rPr>
          <w:rFonts w:ascii="Century Gothic" w:eastAsia="Times New Roman" w:hAnsi="Century Gothic" w:cs="Arial"/>
          <w:color w:val="000000"/>
          <w:sz w:val="18"/>
          <w:bdr w:val="none" w:sz="0" w:space="0" w:color="auto" w:frame="1"/>
          <w:shd w:val="clear" w:color="auto" w:fill="FFFFFF"/>
          <w:lang w:eastAsia="es-MX"/>
        </w:rPr>
        <w:t xml:space="preserve">. </w:t>
      </w:r>
      <w:r w:rsidRPr="00770127">
        <w:rPr>
          <w:rFonts w:ascii="Century Gothic" w:eastAsia="Times New Roman" w:hAnsi="Century Gothic" w:cs="Arial"/>
          <w:bCs/>
          <w:color w:val="000000"/>
          <w:sz w:val="18"/>
          <w:bdr w:val="none" w:sz="0" w:space="0" w:color="auto" w:frame="1"/>
          <w:lang w:eastAsia="es-MX"/>
        </w:rPr>
        <w:t>Secretario General del H. Congreso del Estado de Yucatán.</w:t>
      </w:r>
    </w:p>
    <w:sectPr w:rsidR="00274E28" w:rsidRPr="0088083C" w:rsidSect="00AF0C2B">
      <w:headerReference w:type="default" r:id="rId6"/>
      <w:footerReference w:type="default" r:id="rId7"/>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BE32" w14:textId="77777777" w:rsidR="009240E8" w:rsidRDefault="009240E8" w:rsidP="00FD5031">
      <w:pPr>
        <w:spacing w:after="0" w:line="240" w:lineRule="auto"/>
      </w:pPr>
      <w:r>
        <w:separator/>
      </w:r>
    </w:p>
  </w:endnote>
  <w:endnote w:type="continuationSeparator" w:id="0">
    <w:p w14:paraId="654DA3D6" w14:textId="77777777" w:rsidR="009240E8" w:rsidRDefault="009240E8" w:rsidP="00FD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65152"/>
      <w:docPartObj>
        <w:docPartGallery w:val="Page Numbers (Bottom of Page)"/>
        <w:docPartUnique/>
      </w:docPartObj>
    </w:sdtPr>
    <w:sdtEndPr/>
    <w:sdtContent>
      <w:p w14:paraId="5A1E6A32" w14:textId="02C1A365" w:rsidR="00FD5031" w:rsidRDefault="00FD5031">
        <w:pPr>
          <w:pStyle w:val="Piedepgina"/>
          <w:jc w:val="right"/>
        </w:pPr>
        <w:r>
          <w:fldChar w:fldCharType="begin"/>
        </w:r>
        <w:r>
          <w:instrText>PAGE   \* MERGEFORMAT</w:instrText>
        </w:r>
        <w:r>
          <w:fldChar w:fldCharType="separate"/>
        </w:r>
        <w:r w:rsidR="002E3E42" w:rsidRPr="002E3E42">
          <w:rPr>
            <w:noProof/>
            <w:lang w:val="es-ES"/>
          </w:rPr>
          <w:t>9</w:t>
        </w:r>
        <w:r>
          <w:fldChar w:fldCharType="end"/>
        </w:r>
      </w:p>
    </w:sdtContent>
  </w:sdt>
  <w:p w14:paraId="5BDCD73B" w14:textId="77777777" w:rsidR="00FD5031" w:rsidRDefault="00FD50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24AA" w14:textId="77777777" w:rsidR="009240E8" w:rsidRDefault="009240E8" w:rsidP="00FD5031">
      <w:pPr>
        <w:spacing w:after="0" w:line="240" w:lineRule="auto"/>
      </w:pPr>
      <w:r>
        <w:separator/>
      </w:r>
    </w:p>
  </w:footnote>
  <w:footnote w:type="continuationSeparator" w:id="0">
    <w:p w14:paraId="01D205EF" w14:textId="77777777" w:rsidR="009240E8" w:rsidRDefault="009240E8" w:rsidP="00FD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DC99" w14:textId="77777777" w:rsidR="00AF0C2B" w:rsidRDefault="00AF0C2B">
    <w:pPr>
      <w:pStyle w:val="Encabezado"/>
    </w:pPr>
    <w:r>
      <w:rPr>
        <w:noProof/>
        <w:lang w:eastAsia="es-MX"/>
      </w:rPr>
      <w:drawing>
        <wp:anchor distT="0" distB="0" distL="114300" distR="114300" simplePos="0" relativeHeight="251659264" behindDoc="0" locked="0" layoutInCell="1" allowOverlap="1" wp14:anchorId="6C99AE1D" wp14:editId="5EB98FDC">
          <wp:simplePos x="0" y="0"/>
          <wp:positionH relativeFrom="margin">
            <wp:posOffset>4600575</wp:posOffset>
          </wp:positionH>
          <wp:positionV relativeFrom="paragraph">
            <wp:posOffset>-143510</wp:posOffset>
          </wp:positionV>
          <wp:extent cx="1047750" cy="1047750"/>
          <wp:effectExtent l="0" t="0" r="0" b="0"/>
          <wp:wrapSquare wrapText="bothSides"/>
          <wp:docPr id="9" name="Imagen 9"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74"/>
    <w:rsid w:val="00002EFA"/>
    <w:rsid w:val="0004113E"/>
    <w:rsid w:val="000568E8"/>
    <w:rsid w:val="00063B6F"/>
    <w:rsid w:val="00086842"/>
    <w:rsid w:val="000C5C22"/>
    <w:rsid w:val="000C7AE8"/>
    <w:rsid w:val="000E0C56"/>
    <w:rsid w:val="00100521"/>
    <w:rsid w:val="00131937"/>
    <w:rsid w:val="0019514D"/>
    <w:rsid w:val="001C18C5"/>
    <w:rsid w:val="001C6966"/>
    <w:rsid w:val="00221231"/>
    <w:rsid w:val="00242635"/>
    <w:rsid w:val="0025106C"/>
    <w:rsid w:val="00274E28"/>
    <w:rsid w:val="002C15DF"/>
    <w:rsid w:val="002E3E42"/>
    <w:rsid w:val="00301BDE"/>
    <w:rsid w:val="00341923"/>
    <w:rsid w:val="00360F89"/>
    <w:rsid w:val="00393806"/>
    <w:rsid w:val="003C5B92"/>
    <w:rsid w:val="00475F8D"/>
    <w:rsid w:val="0047787C"/>
    <w:rsid w:val="0049180E"/>
    <w:rsid w:val="004D6D8C"/>
    <w:rsid w:val="004D6EA9"/>
    <w:rsid w:val="004F0D76"/>
    <w:rsid w:val="0050065E"/>
    <w:rsid w:val="00501840"/>
    <w:rsid w:val="005D3896"/>
    <w:rsid w:val="00600734"/>
    <w:rsid w:val="006B4683"/>
    <w:rsid w:val="006C6D41"/>
    <w:rsid w:val="006D1B43"/>
    <w:rsid w:val="006F4543"/>
    <w:rsid w:val="00741EB8"/>
    <w:rsid w:val="00785BBE"/>
    <w:rsid w:val="007C35A0"/>
    <w:rsid w:val="007D3794"/>
    <w:rsid w:val="00813665"/>
    <w:rsid w:val="00860878"/>
    <w:rsid w:val="00864217"/>
    <w:rsid w:val="0088083C"/>
    <w:rsid w:val="009240E8"/>
    <w:rsid w:val="00940554"/>
    <w:rsid w:val="00990E74"/>
    <w:rsid w:val="0099472E"/>
    <w:rsid w:val="00A32143"/>
    <w:rsid w:val="00A42370"/>
    <w:rsid w:val="00A43C6B"/>
    <w:rsid w:val="00A56362"/>
    <w:rsid w:val="00A8769F"/>
    <w:rsid w:val="00AC7233"/>
    <w:rsid w:val="00AF0C2B"/>
    <w:rsid w:val="00B37D22"/>
    <w:rsid w:val="00B647BE"/>
    <w:rsid w:val="00B6764A"/>
    <w:rsid w:val="00C11A62"/>
    <w:rsid w:val="00C930DC"/>
    <w:rsid w:val="00CD4BC7"/>
    <w:rsid w:val="00D272FB"/>
    <w:rsid w:val="00D84E10"/>
    <w:rsid w:val="00DA4599"/>
    <w:rsid w:val="00DE5E19"/>
    <w:rsid w:val="00E01438"/>
    <w:rsid w:val="00E253AF"/>
    <w:rsid w:val="00E43BF7"/>
    <w:rsid w:val="00E6711C"/>
    <w:rsid w:val="00ED0668"/>
    <w:rsid w:val="00ED7401"/>
    <w:rsid w:val="00EE58F4"/>
    <w:rsid w:val="00F11F7A"/>
    <w:rsid w:val="00F12A9D"/>
    <w:rsid w:val="00F54B68"/>
    <w:rsid w:val="00F60CF1"/>
    <w:rsid w:val="00F92B92"/>
    <w:rsid w:val="00F97033"/>
    <w:rsid w:val="00FB7A18"/>
    <w:rsid w:val="00FC6D04"/>
    <w:rsid w:val="00FD5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01C5E"/>
  <w15:chartTrackingRefBased/>
  <w15:docId w15:val="{CB4045E0-CE07-4104-A953-C57B9C7A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06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668"/>
    <w:rPr>
      <w:rFonts w:ascii="Segoe UI" w:hAnsi="Segoe UI" w:cs="Segoe UI"/>
      <w:sz w:val="18"/>
      <w:szCs w:val="18"/>
    </w:rPr>
  </w:style>
  <w:style w:type="paragraph" w:styleId="Encabezado">
    <w:name w:val="header"/>
    <w:basedOn w:val="Normal"/>
    <w:link w:val="EncabezadoCar"/>
    <w:uiPriority w:val="99"/>
    <w:unhideWhenUsed/>
    <w:rsid w:val="00FD5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031"/>
  </w:style>
  <w:style w:type="paragraph" w:styleId="Piedepgina">
    <w:name w:val="footer"/>
    <w:basedOn w:val="Normal"/>
    <w:link w:val="PiedepginaCar"/>
    <w:uiPriority w:val="99"/>
    <w:unhideWhenUsed/>
    <w:rsid w:val="00FD5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031"/>
  </w:style>
  <w:style w:type="table" w:styleId="Tablaconcuadrcula">
    <w:name w:val="Table Grid"/>
    <w:basedOn w:val="Tablanormal"/>
    <w:uiPriority w:val="39"/>
    <w:rsid w:val="0088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10592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Ivan Diaz Ocheita</dc:creator>
  <cp:keywords/>
  <dc:description/>
  <cp:lastModifiedBy>Mildred Manzanilla</cp:lastModifiedBy>
  <cp:revision>2</cp:revision>
  <cp:lastPrinted>2023-01-30T20:09:00Z</cp:lastPrinted>
  <dcterms:created xsi:type="dcterms:W3CDTF">2023-02-16T19:49:00Z</dcterms:created>
  <dcterms:modified xsi:type="dcterms:W3CDTF">2023-02-16T19:49:00Z</dcterms:modified>
</cp:coreProperties>
</file>